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E20" w:rsidRDefault="00072E20" w:rsidP="00072E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УТВЕРЖДАЮ</w:t>
      </w:r>
    </w:p>
    <w:p w:rsidR="00072E20" w:rsidRDefault="00072E20" w:rsidP="00072E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председателя</w:t>
      </w:r>
    </w:p>
    <w:p w:rsidR="00072E20" w:rsidRDefault="00072E20" w:rsidP="00072E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Шумилинского районного</w:t>
      </w:r>
    </w:p>
    <w:p w:rsidR="00072E20" w:rsidRDefault="00072E20" w:rsidP="00072E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исполнительного комитета</w:t>
      </w:r>
    </w:p>
    <w:p w:rsidR="00072E20" w:rsidRDefault="00072E20" w:rsidP="00072E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 И.И. Шалахова</w:t>
      </w:r>
    </w:p>
    <w:p w:rsidR="00072E20" w:rsidRDefault="00E64F44" w:rsidP="00072E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   »  ____________ 2023</w:t>
      </w:r>
      <w:r w:rsidR="00072E20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072E20" w:rsidRDefault="00072E20" w:rsidP="00072E20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ПРОФИЛЬ ЗДОРОВЬЯ</w:t>
      </w:r>
    </w:p>
    <w:p w:rsidR="00072E20" w:rsidRDefault="00072E20" w:rsidP="00072E20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г.п. ШУМИЛИНО</w:t>
      </w:r>
    </w:p>
    <w:p w:rsidR="00072E20" w:rsidRDefault="00072E20" w:rsidP="00072E20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40"/>
          <w:szCs w:val="40"/>
        </w:rPr>
      </w:pPr>
    </w:p>
    <w:p w:rsidR="00072E20" w:rsidRDefault="00072E20" w:rsidP="00072E20">
      <w:pPr>
        <w:tabs>
          <w:tab w:val="left" w:pos="36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3238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20" w:rsidRDefault="00072E20" w:rsidP="00072E20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tabs>
          <w:tab w:val="left" w:pos="36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tabs>
          <w:tab w:val="left" w:pos="36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tabs>
          <w:tab w:val="left" w:pos="36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tabs>
          <w:tab w:val="left" w:pos="36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tabs>
          <w:tab w:val="left" w:pos="36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tabs>
          <w:tab w:val="left" w:pos="28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tabs>
          <w:tab w:val="left" w:pos="28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72E20" w:rsidRDefault="009274B5" w:rsidP="009274B5">
      <w:pPr>
        <w:tabs>
          <w:tab w:val="left" w:pos="2835"/>
          <w:tab w:val="center" w:pos="4677"/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64F44">
        <w:rPr>
          <w:rFonts w:ascii="Times New Roman" w:hAnsi="Times New Roman" w:cs="Times New Roman"/>
          <w:sz w:val="28"/>
          <w:szCs w:val="28"/>
        </w:rPr>
        <w:t>2023</w:t>
      </w:r>
      <w:r w:rsidR="00072E20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72E20" w:rsidRDefault="00072E20" w:rsidP="00072E20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072E20" w:rsidRDefault="00072E20" w:rsidP="00072E20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ПРЕДИСЛОВИЕ………………………………………………………………..3-5</w:t>
      </w:r>
    </w:p>
    <w:p w:rsidR="00072E20" w:rsidRDefault="00072E20" w:rsidP="00072E20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ГЕОГРАФИЧЕСКАЯ СПРАВКА………………………………………………..6</w:t>
      </w:r>
    </w:p>
    <w:p w:rsidR="00072E20" w:rsidRDefault="00072E20" w:rsidP="00072E20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СТОРИЧЕСКАЯ СПРАВКА…………………………………………………7-9</w:t>
      </w:r>
    </w:p>
    <w:p w:rsidR="00072E20" w:rsidRDefault="00072E20" w:rsidP="00072E20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СОЦИАЛЬНО-ЭКОНОМИЧЕСКАЯ ХАРАКТЕРИСТИКА……………...10-11</w:t>
      </w:r>
    </w:p>
    <w:p w:rsidR="00072E20" w:rsidRDefault="00072E20" w:rsidP="00072E2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САНИТАРНО-ГИГИЕНИЧЕСКАЯ ХАРАКТЕРИСТИКА…………….....12-13</w:t>
      </w:r>
    </w:p>
    <w:p w:rsidR="00072E20" w:rsidRDefault="00072E20" w:rsidP="00072E20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СОСТОЯНИЕ ЗДОР</w:t>
      </w:r>
      <w:r w:rsidR="00DC6BF7">
        <w:rPr>
          <w:rFonts w:ascii="Times New Roman" w:hAnsi="Times New Roman" w:cs="Times New Roman"/>
          <w:sz w:val="28"/>
          <w:szCs w:val="28"/>
        </w:rPr>
        <w:t>ОВЬЯ НАС</w:t>
      </w:r>
      <w:r w:rsidR="003D5D41">
        <w:rPr>
          <w:rFonts w:ascii="Times New Roman" w:hAnsi="Times New Roman" w:cs="Times New Roman"/>
          <w:sz w:val="28"/>
          <w:szCs w:val="28"/>
        </w:rPr>
        <w:t>ЕЛЕНИЯ…………………………………14-18</w:t>
      </w:r>
    </w:p>
    <w:p w:rsidR="00072E20" w:rsidRDefault="00072E20" w:rsidP="00072E2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072E20" w:rsidRDefault="00072E20" w:rsidP="00072E20">
      <w:pPr>
        <w:tabs>
          <w:tab w:val="left" w:pos="369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ПРЕДИСЛОВИЕ</w:t>
      </w:r>
    </w:p>
    <w:p w:rsidR="00072E20" w:rsidRDefault="00072E20" w:rsidP="00072E20">
      <w:pPr>
        <w:tabs>
          <w:tab w:val="left" w:pos="369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современных демографических условиях вопрос сохранения здоровья населения можно считать самым актуальным. Здоровье и благополучие являются ключевым фактором экономического и социального развития и имеют важное значение в жизни каждого человека, для каждой семьи и всего сообщества в целом. Формирование здоровой нации – фактор национальной безопасности и основная задача государственной социальной политики в Беларуси. Важнейшей целью государства в области охраны здоровья является снижение уровня заболеваний, распространение которых несет главную угрозу здоровью граждан и национальной безопасности. Крепкое здоровье и отсутствие вредных привычек для населения Беларуси является главными показателями благополучия человека.</w:t>
      </w:r>
    </w:p>
    <w:p w:rsidR="00072E20" w:rsidRDefault="00072E20" w:rsidP="00072E20">
      <w:pPr>
        <w:tabs>
          <w:tab w:val="left" w:pos="369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Республике Беларусь, как и в других странах мира, неинфекционные заболевания стали основной причиной высокой смертности населения и экономических потерь в связи с возникающей нетрудоспособностью и затратами на медицинское обслуживание. Проведенные в Беларуси исследования распространенности основных факторов риска неинфекционных болезней </w:t>
      </w:r>
      <w:r w:rsidRPr="003F5DF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показало, что более 40 % насе</w:t>
      </w:r>
      <w:r w:rsidR="003D3FE2" w:rsidRPr="003F5DF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ле</w:t>
      </w:r>
      <w:r w:rsidRPr="003F5DF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ния имеют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три и более из пяти основных факторов риска здоровью (ежедневное табакокурение, низкий уровень потребления овощей и фруктов, гиподинамия, избыточный вес, повышенное артериальное давление).</w:t>
      </w:r>
    </w:p>
    <w:p w:rsidR="00072E20" w:rsidRDefault="00072E20" w:rsidP="00072E20">
      <w:pPr>
        <w:tabs>
          <w:tab w:val="left" w:pos="369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связи с этим возрастает значимость профилактики как системы мер, направленных на устранение причин и условий, вызывающих болезни, создание здоровье сберегающей среды жизнедеятельности и формирование у населения мотивации к здоровому образу жизни.     Это может быть обеспечено путем повышения эффективности межведомственного взаимодействия, актуализации мероприятий по сохранению и укреплению здоровья населения с учетом всех аспектов территориального устойчивого развития.</w:t>
      </w:r>
    </w:p>
    <w:p w:rsidR="00072E20" w:rsidRDefault="00072E20" w:rsidP="00072E20">
      <w:pPr>
        <w:tabs>
          <w:tab w:val="left" w:pos="369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Проект «Здоровые города» стартовал в Республике Беларусь в 2012 году и его развитие предусмотрено в государственной программе «Здоровье народа и демографическая безопасность Республики Беларусь на 2016-2020 годы».</w:t>
      </w:r>
    </w:p>
    <w:p w:rsidR="00072E20" w:rsidRDefault="00072E20" w:rsidP="00072E20">
      <w:pPr>
        <w:tabs>
          <w:tab w:val="left" w:pos="369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послании Президента Республики Беларусь Лукашенко А.Г. белорусскому народу и Национальному собранию от 19 апреля 2019 года поставлена задача реализовать государственный профилактический проект «Здоровые города и поселки» и создать национальную сеть.</w:t>
      </w:r>
    </w:p>
    <w:p w:rsidR="00072E20" w:rsidRDefault="00072E20" w:rsidP="00072E20">
      <w:pPr>
        <w:tabs>
          <w:tab w:val="left" w:pos="369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Реализация государственного профилактического проекта «Здоровые города и поселки» обеспечит достижение медико-демографической устойчивости территории, осуществлении государственной политики по профилактике болезней и формированию здорового образа жизни, развитие здравоохранения.</w:t>
      </w:r>
    </w:p>
    <w:p w:rsidR="00072E20" w:rsidRDefault="00072E20" w:rsidP="00072E20">
      <w:pPr>
        <w:tabs>
          <w:tab w:val="left" w:pos="369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соответствии с Планом основных мероприятий по реализации государственного профилактического проекта «Здоровые города и поселки», утвержденного протоколом заседания Межведомственного совета по формированию здорового образа жизни, контролю за неинфекционными заболеваниями, предупреждению и профилактике пьянства, алкоголизма, наркомании и потребления табачного сырья и табачных изделий при Совете Министров Республики Беларусь №2 от 30.10.2019 г. в Республике Беларусь утвержден проект </w:t>
      </w:r>
      <w:r w:rsidR="00E64F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Здоровые города и посёлк</w:t>
      </w:r>
      <w:r w:rsidR="00E64F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и»,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протоколом заседания № 2 от 17.01.2020 г. Совета по демографической безопасности Шумилинского района при Шумилинском районном исполнительном комитете г.п. Шумилино определён как населенный пункт, перспективный для реализации проекта «Здоровые города и поселки».</w:t>
      </w:r>
    </w:p>
    <w:p w:rsidR="00072E20" w:rsidRDefault="00072E20" w:rsidP="00072E20">
      <w:pPr>
        <w:tabs>
          <w:tab w:val="left" w:pos="369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Реализация проекта на уровне района осуществляется по разработанным и утвержденным Советом по демографической безопасности Шумилинского района (далее - Совет) планам мероприятий, базирующихся на данных проведенного анализа медико-демографической, социально-гигиенической и экологической ситуации. Управление проектом осуществляется районной координационной группой управления (далее – группа управления).</w:t>
      </w:r>
    </w:p>
    <w:p w:rsidR="00072E20" w:rsidRDefault="00072E20" w:rsidP="00072E20">
      <w:pPr>
        <w:tabs>
          <w:tab w:val="left" w:pos="369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Группа управления состоит из представителей Шумилинского районного исполнительного комитета (отделы по направлению деятельности), субъектов хозяйствования, а также общественных организаций. Возглавляет группу управления руководитель (председатель группы) заместитель председателя Шумилинского района Шалахова И.И.</w:t>
      </w:r>
    </w:p>
    <w:p w:rsidR="00072E20" w:rsidRDefault="00072E20" w:rsidP="00072E20">
      <w:pPr>
        <w:tabs>
          <w:tab w:val="left" w:pos="369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Организационно-техническое сопровождение и обеспечение деятельности группы управления осуществляет ГУ «Шумилинский районный центр гигиены и эпидемиологии» (далее – ГУ «Шумилинский РЦГЭ»).</w:t>
      </w:r>
    </w:p>
    <w:p w:rsidR="00072E20" w:rsidRDefault="00072E20" w:rsidP="00072E20">
      <w:pPr>
        <w:tabs>
          <w:tab w:val="left" w:pos="369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Основные принципы реализации проекта и деятельности в рамках национальной сети:</w:t>
      </w:r>
    </w:p>
    <w:p w:rsidR="00072E20" w:rsidRDefault="00072E20" w:rsidP="00072E20">
      <w:pPr>
        <w:tabs>
          <w:tab w:val="left" w:pos="369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организационная подготовка и поддержка местных инициатив, содействующих формированию у населения мотивации к здоровому образу жизни (далее - инициативные группы);</w:t>
      </w:r>
    </w:p>
    <w:p w:rsidR="00072E20" w:rsidRDefault="00072E20" w:rsidP="00072E20">
      <w:pPr>
        <w:tabs>
          <w:tab w:val="left" w:pos="369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планирование профилактических мероприятий на основе данных о медико-демографической ситуации, социально-гигиенического и экологического состояния территории;</w:t>
      </w:r>
    </w:p>
    <w:p w:rsidR="00072E20" w:rsidRDefault="00072E20" w:rsidP="00072E20">
      <w:pPr>
        <w:tabs>
          <w:tab w:val="left" w:pos="369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интеграция мероприятий в рамках национальной сети с республиканскими и </w:t>
      </w:r>
      <w:r w:rsidR="003D3FE2">
        <w:rPr>
          <w:rFonts w:ascii="Times New Roman" w:hAnsi="Times New Roman" w:cs="Times New Roman"/>
          <w:color w:val="000000" w:themeColor="text1"/>
          <w:sz w:val="28"/>
          <w:szCs w:val="28"/>
        </w:rPr>
        <w:t>областными профилактическими программами,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проектами.</w:t>
      </w:r>
    </w:p>
    <w:p w:rsidR="00072E20" w:rsidRDefault="00072E20" w:rsidP="00072E20">
      <w:pPr>
        <w:tabs>
          <w:tab w:val="left" w:pos="369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Инициативные группы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«Чистый город» - ответственными за реализацию являются отдел архитектуры и строительства, жилищно-коммунального хозяйства Шумилинского районного исполнительного комитета, Унитарное предприятие жилищно-коммунальное хозяйство Шумилинского района, Шумилинская автостанция филиала «Автобусный парк № 2 г. Полоцка» ОАО «Витебскоблавтотранс», Шумилинское дорожное ремонтно-строительное управление № 204 КУП «Витебскоблстрой», ГУ «Шумилинский РЦГЭ», отделение ГАИ Шумилинского РОВД. Основной задачей, является создание благоприятной среды для жизнедеятельности населения г.п. Шумилино, снижение доли неблагоустроенной территории, создание условий для физической активности и занятия спортом. Целевая аудитория – население г.п. Шумилино;</w:t>
      </w:r>
    </w:p>
    <w:p w:rsidR="00072E20" w:rsidRDefault="00072E20" w:rsidP="00072E20">
      <w:pPr>
        <w:pStyle w:val="2"/>
        <w:ind w:firstLine="567"/>
        <w:jc w:val="both"/>
        <w:rPr>
          <w:rFonts w:ascii="Verdana" w:hAnsi="Verdana"/>
          <w:b w:val="0"/>
          <w:color w:val="D61C70"/>
          <w:sz w:val="19"/>
          <w:szCs w:val="19"/>
        </w:rPr>
      </w:pPr>
      <w:r>
        <w:rPr>
          <w:sz w:val="28"/>
          <w:szCs w:val="28"/>
        </w:rPr>
        <w:t>«</w:t>
      </w:r>
      <w:r>
        <w:rPr>
          <w:b w:val="0"/>
          <w:sz w:val="28"/>
          <w:szCs w:val="28"/>
        </w:rPr>
        <w:t xml:space="preserve">Охрана детского здоровья» - ответственными за реализацию являются: отдел по образованию Шумилинского районного исполнительного комитета: ГУО </w:t>
      </w:r>
      <w:r>
        <w:rPr>
          <w:rFonts w:ascii="Tahoma" w:hAnsi="Tahoma" w:cs="Tahoma"/>
          <w:b w:val="0"/>
          <w:color w:val="111111"/>
          <w:sz w:val="28"/>
          <w:szCs w:val="28"/>
          <w:shd w:val="clear" w:color="auto" w:fill="FBFCFD"/>
        </w:rPr>
        <w:t>"</w:t>
      </w:r>
      <w:r>
        <w:rPr>
          <w:b w:val="0"/>
          <w:color w:val="111111"/>
          <w:sz w:val="28"/>
          <w:szCs w:val="28"/>
          <w:shd w:val="clear" w:color="auto" w:fill="FBFCFD"/>
        </w:rPr>
        <w:t xml:space="preserve">Средняя школа №1 им. Героя Советского Союза П.А. Акуционка г.п. Шумилино" (далее - </w:t>
      </w:r>
      <w:r>
        <w:rPr>
          <w:b w:val="0"/>
          <w:sz w:val="28"/>
          <w:szCs w:val="28"/>
        </w:rPr>
        <w:t xml:space="preserve">СШ № 1), ГУО </w:t>
      </w:r>
      <w:r>
        <w:rPr>
          <w:b w:val="0"/>
          <w:color w:val="111111"/>
          <w:sz w:val="28"/>
          <w:szCs w:val="28"/>
          <w:shd w:val="clear" w:color="auto" w:fill="FBFCFD"/>
        </w:rPr>
        <w:t>"Средняя школа №2 имени А.И. Дубосарского г.п. Шумилино"</w:t>
      </w:r>
      <w:r>
        <w:rPr>
          <w:b w:val="0"/>
          <w:sz w:val="28"/>
          <w:szCs w:val="28"/>
        </w:rPr>
        <w:t xml:space="preserve"> (далее - СШ №2), ГУО «Шумилинский ясли-сад № 1» (далее - ДДУ №1), ГУ «Шумилинский РЦГЭ», УЗ «Шумилинская центральная районная больни</w:t>
      </w:r>
      <w:r w:rsidR="003D3FE2">
        <w:rPr>
          <w:b w:val="0"/>
          <w:sz w:val="28"/>
          <w:szCs w:val="28"/>
        </w:rPr>
        <w:t>ца» (далее – УЗ «Шумилинская ЦРБ</w:t>
      </w:r>
      <w:r>
        <w:rPr>
          <w:b w:val="0"/>
          <w:sz w:val="28"/>
          <w:szCs w:val="28"/>
        </w:rPr>
        <w:t xml:space="preserve">»), </w:t>
      </w:r>
      <w:r>
        <w:rPr>
          <w:b w:val="0"/>
          <w:color w:val="111111"/>
          <w:sz w:val="28"/>
          <w:szCs w:val="28"/>
          <w:shd w:val="clear" w:color="auto" w:fill="FBFCFD"/>
        </w:rPr>
        <w:t>ГУ "Шумилинская специализированная детско-юношеская школа олимпийского резерва"</w:t>
      </w:r>
      <w:r>
        <w:rPr>
          <w:b w:val="0"/>
          <w:sz w:val="28"/>
          <w:szCs w:val="28"/>
        </w:rPr>
        <w:t xml:space="preserve"> (далее - ГУ «Шумилинская СДЮШОР), </w:t>
      </w:r>
      <w:r>
        <w:rPr>
          <w:b w:val="0"/>
          <w:color w:val="000000" w:themeColor="text1"/>
          <w:sz w:val="28"/>
          <w:szCs w:val="28"/>
        </w:rPr>
        <w:t xml:space="preserve">ГУДО "Шумилинский районный центр детей и молодёжи" (далее – </w:t>
      </w:r>
      <w:r>
        <w:rPr>
          <w:b w:val="0"/>
          <w:sz w:val="28"/>
          <w:szCs w:val="28"/>
        </w:rPr>
        <w:t xml:space="preserve">РЦДМ). Целевая аудитория – дети школьного и дошкольного возраста г. п. Шумилино. </w:t>
      </w:r>
    </w:p>
    <w:p w:rsidR="00072E20" w:rsidRDefault="00072E20" w:rsidP="00072E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4B5" w:rsidRDefault="009274B5" w:rsidP="00072E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4B5" w:rsidRDefault="009274B5" w:rsidP="00072E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4B5" w:rsidRDefault="009274B5" w:rsidP="00072E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72E20" w:rsidRDefault="00072E20" w:rsidP="00072E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ГЕОГРАФИЧЕСКАЯ СПРАВКА</w:t>
      </w:r>
    </w:p>
    <w:p w:rsidR="00072E20" w:rsidRDefault="00072E20" w:rsidP="00072E20">
      <w:pPr>
        <w:tabs>
          <w:tab w:val="left" w:pos="3690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Шумилинский район расположен в центральной части Витебской области. Образован 17.07.1924 года как Сиротинский район, 13.11.1961 года переименован в Шумилинский, 25.12.1962 года – упразднен, территория передана в состав Бешенковичского, Витебского, Городокского и Полоцкого районов. 30.07.1966 года – вновь образован Шумилинский район. Площадь района – 1,7 тыс. кв. км. В составе района </w:t>
      </w:r>
      <w:r w:rsidRPr="00FA475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сельских Советов</w:t>
      </w:r>
      <w:r w:rsidRPr="003F5DFB">
        <w:rPr>
          <w:rFonts w:ascii="Times New Roman" w:hAnsi="Times New Roman" w:cs="Times New Roman"/>
          <w:sz w:val="28"/>
          <w:szCs w:val="28"/>
        </w:rPr>
        <w:t>, 253 населенных</w:t>
      </w:r>
      <w:r>
        <w:rPr>
          <w:rFonts w:ascii="Times New Roman" w:hAnsi="Times New Roman" w:cs="Times New Roman"/>
          <w:sz w:val="28"/>
          <w:szCs w:val="28"/>
        </w:rPr>
        <w:t xml:space="preserve"> пунктов. Центр района – г.п. Шумилино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5D59">
        <w:rPr>
          <w:rFonts w:ascii="Times New Roman" w:hAnsi="Times New Roman" w:cs="Times New Roman"/>
          <w:sz w:val="28"/>
          <w:szCs w:val="28"/>
        </w:rPr>
        <w:t>Численность населения на 01.01.202</w:t>
      </w:r>
      <w:r w:rsidR="00815D59" w:rsidRPr="00815D59">
        <w:rPr>
          <w:rFonts w:ascii="Times New Roman" w:hAnsi="Times New Roman" w:cs="Times New Roman"/>
          <w:sz w:val="28"/>
          <w:szCs w:val="28"/>
        </w:rPr>
        <w:t>3</w:t>
      </w:r>
      <w:r w:rsidRPr="00815D59">
        <w:rPr>
          <w:rFonts w:ascii="Times New Roman" w:hAnsi="Times New Roman" w:cs="Times New Roman"/>
          <w:sz w:val="28"/>
          <w:szCs w:val="28"/>
        </w:rPr>
        <w:t xml:space="preserve"> составила - </w:t>
      </w:r>
      <w:r w:rsidR="00815D59" w:rsidRPr="00815D59">
        <w:rPr>
          <w:rFonts w:ascii="Times New Roman" w:hAnsi="Times New Roman" w:cs="Times New Roman"/>
          <w:sz w:val="28"/>
          <w:szCs w:val="28"/>
        </w:rPr>
        <w:t>16418</w:t>
      </w:r>
      <w:r w:rsidRPr="00815D59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815D59" w:rsidRPr="00815D59">
        <w:rPr>
          <w:rFonts w:ascii="Times New Roman" w:hAnsi="Times New Roman" w:cs="Times New Roman"/>
          <w:sz w:val="28"/>
          <w:szCs w:val="28"/>
        </w:rPr>
        <w:t xml:space="preserve"> (из них мужчин – 7641, женщин – 8777)</w:t>
      </w:r>
      <w:r w:rsidRPr="00815D59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Pr="00815D59">
        <w:rPr>
          <w:rFonts w:ascii="Times New Roman" w:hAnsi="Times New Roman" w:cs="Times New Roman"/>
          <w:sz w:val="28"/>
        </w:rPr>
        <w:t xml:space="preserve">9 </w:t>
      </w:r>
      <w:r w:rsidR="00815D59" w:rsidRPr="00815D59">
        <w:rPr>
          <w:rFonts w:ascii="Times New Roman" w:hAnsi="Times New Roman" w:cs="Times New Roman"/>
          <w:sz w:val="28"/>
        </w:rPr>
        <w:t>401</w:t>
      </w:r>
      <w:r w:rsidRPr="00815D59">
        <w:rPr>
          <w:sz w:val="28"/>
        </w:rPr>
        <w:t xml:space="preserve"> </w:t>
      </w:r>
      <w:r w:rsidRPr="00815D59">
        <w:rPr>
          <w:rFonts w:ascii="Times New Roman" w:hAnsi="Times New Roman" w:cs="Times New Roman"/>
          <w:sz w:val="28"/>
          <w:szCs w:val="28"/>
        </w:rPr>
        <w:t>человек – городского населения (г.п. Шумилино, г.п. Оболь)</w:t>
      </w:r>
      <w:r w:rsidR="00815D59" w:rsidRPr="00815D59">
        <w:rPr>
          <w:rFonts w:ascii="Times New Roman" w:hAnsi="Times New Roman" w:cs="Times New Roman"/>
          <w:sz w:val="28"/>
          <w:szCs w:val="28"/>
        </w:rPr>
        <w:t xml:space="preserve"> (из них мужчин – 4193, женщин – 5208)</w:t>
      </w:r>
      <w:r w:rsidRPr="00815D59">
        <w:rPr>
          <w:rFonts w:ascii="Times New Roman" w:hAnsi="Times New Roman" w:cs="Times New Roman"/>
          <w:sz w:val="28"/>
          <w:szCs w:val="28"/>
        </w:rPr>
        <w:t xml:space="preserve">, </w:t>
      </w:r>
      <w:r w:rsidR="00815D59" w:rsidRPr="00815D59">
        <w:rPr>
          <w:rFonts w:ascii="Times New Roman" w:hAnsi="Times New Roman" w:cs="Times New Roman"/>
          <w:sz w:val="28"/>
        </w:rPr>
        <w:t>7017</w:t>
      </w:r>
      <w:r w:rsidRPr="00815D59">
        <w:rPr>
          <w:rFonts w:ascii="Times New Roman" w:hAnsi="Times New Roman" w:cs="Times New Roman"/>
          <w:sz w:val="36"/>
          <w:szCs w:val="28"/>
        </w:rPr>
        <w:t xml:space="preserve"> </w:t>
      </w:r>
      <w:r w:rsidRPr="00815D59">
        <w:rPr>
          <w:rFonts w:ascii="Times New Roman" w:hAnsi="Times New Roman" w:cs="Times New Roman"/>
          <w:sz w:val="28"/>
          <w:szCs w:val="28"/>
        </w:rPr>
        <w:t>человек проживает в сельской местности</w:t>
      </w:r>
      <w:r w:rsidR="00815D59" w:rsidRPr="00815D59">
        <w:rPr>
          <w:rFonts w:ascii="Times New Roman" w:hAnsi="Times New Roman" w:cs="Times New Roman"/>
          <w:sz w:val="28"/>
          <w:szCs w:val="28"/>
        </w:rPr>
        <w:t xml:space="preserve"> (из них</w:t>
      </w:r>
      <w:r w:rsidR="00815D59">
        <w:rPr>
          <w:rFonts w:ascii="Times New Roman" w:hAnsi="Times New Roman" w:cs="Times New Roman"/>
          <w:sz w:val="28"/>
          <w:szCs w:val="28"/>
        </w:rPr>
        <w:t xml:space="preserve"> мужчин – 3448, женщин – 3569)</w:t>
      </w:r>
      <w:r w:rsidRPr="00FA475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5D59">
        <w:rPr>
          <w:rFonts w:ascii="Times New Roman" w:hAnsi="Times New Roman" w:cs="Times New Roman"/>
          <w:sz w:val="28"/>
          <w:szCs w:val="28"/>
        </w:rPr>
        <w:t xml:space="preserve">Численность населения в 2023 году снизилась на 401 человека, в том числе </w:t>
      </w:r>
      <w:r w:rsidR="00DA158B">
        <w:rPr>
          <w:rFonts w:ascii="Times New Roman" w:hAnsi="Times New Roman" w:cs="Times New Roman"/>
          <w:sz w:val="28"/>
          <w:szCs w:val="28"/>
        </w:rPr>
        <w:t xml:space="preserve">городского населения </w:t>
      </w:r>
      <w:r w:rsidR="00815D59">
        <w:rPr>
          <w:rFonts w:ascii="Times New Roman" w:hAnsi="Times New Roman" w:cs="Times New Roman"/>
          <w:sz w:val="28"/>
          <w:szCs w:val="28"/>
        </w:rPr>
        <w:t>на 124 человека, так же снизилась численность населения в сельской местности на 277 человек, по сравнению с 2022 годом.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Большая часть территории находится в пределах Полоцкой низины. Средняя высота 140 – 160 метров.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Полезные ископаемые: торф, кирпичная глина, гравий, строительный песок.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района протекает 78 рек и ручьев, среди них река Западная Двина с притоком Оболь (с Усыссой и Черновкой) и Сечна. Имеется также 72 озера.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лесом находится 32 процента территории, преимущественно на северо-западе и юго-западе района.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Территорию района пересекают железная дорога Витебск-Полоцк, автомобильная дорога Витебск-Шумилино-Полоцк с ответвлением на Лепель, Бешенковичи, Городок.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72E20" w:rsidRDefault="00072E20" w:rsidP="00072E20">
      <w:pPr>
        <w:tabs>
          <w:tab w:val="left" w:pos="36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ИСТОРИЧЕСКАЯ СПРАВКА</w:t>
      </w:r>
    </w:p>
    <w:p w:rsidR="00072E20" w:rsidRDefault="00072E20" w:rsidP="00072E20">
      <w:pPr>
        <w:tabs>
          <w:tab w:val="left" w:pos="369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2E20" w:rsidRDefault="00072E20" w:rsidP="00072E20">
      <w:pPr>
        <w:spacing w:after="0" w:line="240" w:lineRule="auto"/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55775" cy="2019300"/>
            <wp:effectExtent l="0" t="0" r="0" b="0"/>
            <wp:wrapSquare wrapText="bothSides"/>
            <wp:docPr id="10" name="Рисунок 10" descr="SHumilino-ger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Humilino-gerb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Впервые г.п. Шумилино упоминается в XIX веке, как деревня, входящая в состав Ловажской волости Полоцкого уезда Витебской</w:t>
      </w:r>
      <w:r w:rsidR="00DA158B">
        <w:rPr>
          <w:rFonts w:ascii="Times New Roman" w:hAnsi="Times New Roman" w:cs="Times New Roman"/>
          <w:sz w:val="28"/>
          <w:szCs w:val="28"/>
        </w:rPr>
        <w:t xml:space="preserve"> губернии в которой в 1866 году </w:t>
      </w:r>
      <w:r>
        <w:rPr>
          <w:rFonts w:ascii="Times New Roman" w:hAnsi="Times New Roman" w:cs="Times New Roman"/>
          <w:sz w:val="28"/>
          <w:szCs w:val="28"/>
        </w:rPr>
        <w:t>было 5 хозяйств, 13 строений, 38 жителей.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строительства Риго-Орловской железной дороги (1886 год) деревня выросла в местечко, построена железнодорожная станция. Дальнейшая история здешнего города связана с введением в строй Динабурго-Витебской железнодорожной ветки.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октября 1866 г. общество Динабурго-Витебской железной дороги докладывает в министерство о готовности второго участка ветки от Полоцка до Витебска с мастерскими для ремонта и обслуживания паровозов.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протяжение железной дороги от Динабурга до Витебска составляет 242 версты.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 октября кипящий и шипящий паровоз с тремя вагонами пересекает Шумилино и прибывает в Витебск.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1866 г. на территории Беларуси был пущен в строй второй железнодорожный участок Витебск-Полоцк-Бигосово, который вошел в состав Рига-Орловской железной дороги, так же в 1866 г. был возведен вокзальный комплекс станции Сиротино (село с данным названием в семи километрах к северу). В этот комплекс входили: здание вокзала, депо, товарные рампы, складские помещения и церковь, кирпичная водонапорная башня. Вода в нее поступала из Крупчанского озера. Для этого в полутора километрах от вокзала была устроена водонапорная станция с паровым двигателем, в 60-х годах XX в. паровой двигатель на ней был заменен на дизельный.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январе 1918 г. открылась первая школа.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1924 году образован Сиротинский район Витебского округа (ныне Шумилинский район Витебской области).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 1924 году создан отдел милиции Сиротинского район (ныне Шумилинский районный отдел внутренних дел Шумилинского райисполкома).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1924 году образован Народный суд (ныне Суд Шумилинскогорайона).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1924 году образован при Сиротинском райисполкоме отдел Записи актов гражданского состояния (ныне отдел Записи актов гражданского состояния Шумилинского райисполкома).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1924 году образован отдел народного образования Сиротинского райисполкома (ныне отдел по образованию Шумилинского райисполкома).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1924 году образована санитарно-эпидемиологическая служба Шумилинского района, вначале это был просто эпидемиологический отдел при центральной районной больнице (ныне ГУ «Шумилинский РЦГЭ».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1925 году начинает свою историю и центральная районная библиотека.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г.п. Шумилино работал Нардом, при котором начала функционировать и библиотека. Размещался Нардом вместе с библиотекой в помещении железнодорожного клуба. Об этом говорится в «Отчете обследования Сиротинского района Витебского округа» от февраля месяца 1925 года. Читателей в библиотеке при Нардоме было 160 человек.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1944 г. освобождены от немецкой оккупации д. Сиротино, г.п. Шумилино.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1944 г. в районе создана пожарная команда (ныне Шумилинский районный отдел по чрезвычайным ситуациям).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1944 г. открыт пункт скорой помощи при Сиротинской районной больнице в м. Шумилино (ныне скорая помощь при УЗ «Шумилинская ЦРБ»).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1944 г. в районе начала работу коммунальная служба (ныне УП ЖКХ Шумилинского района»).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1944 г. был открыт в г.п. Шумилино детский сад (в 1969 году введено в строй новое здание детского сада). Ныне государственное учреждение образования «Шумилинский ясли-сад № 1».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1949 г. открыта Сиротинская районная аптека № 40 (ныне Центральная аптека № 40 Шумилинского района).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1959 г. в г.п. Шумилино Витебской области открыта Детская музыкальная школа (ныне Государственное учреждение образования «Шумилинская детская школа искусств»).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декабре 1959 года основано Государственное предприятие «Шумилинская ПМК-70».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1964 году принято Постановление Совета Министров № 429 от 21.09.1964 о присвоении школе № </w:t>
      </w:r>
      <w:smartTag w:uri="urn:schemas-microsoft-com:office:smarttags" w:element="metricconverter">
        <w:smartTagPr>
          <w:attr w:name="ProductID" w:val="1 г"/>
        </w:smartTagPr>
        <w:r>
          <w:rPr>
            <w:rFonts w:ascii="Times New Roman" w:hAnsi="Times New Roman" w:cs="Times New Roman"/>
            <w:sz w:val="28"/>
            <w:szCs w:val="28"/>
          </w:rPr>
          <w:t>1 г</w:t>
        </w:r>
      </w:smartTag>
      <w:r>
        <w:rPr>
          <w:rFonts w:ascii="Times New Roman" w:hAnsi="Times New Roman" w:cs="Times New Roman"/>
          <w:sz w:val="28"/>
          <w:szCs w:val="28"/>
        </w:rPr>
        <w:t>.п. Шумилино имени Героя Советского Союза Петра Антоновича Акуционка.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1979 году, для своих, работников Шумилинское районное производственно-техническое объединение сельского хозяйства построило и ввело в эксплуатацию здание детского сада на 140 мест (ныне Государственное учреждение образования «Шумилинский ясли-сад № 3).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28 мая 1984 года приказом Министерства культуры БССР в г.п. Шумилино Витебской области основан </w:t>
      </w:r>
      <w:r w:rsidRPr="00E21E1C">
        <w:rPr>
          <w:rStyle w:val="ae"/>
          <w:rFonts w:ascii="Times New Roman" w:eastAsiaTheme="majorEastAsia" w:hAnsi="Times New Roman" w:cs="Times New Roman"/>
          <w:b w:val="0"/>
          <w:sz w:val="28"/>
          <w:szCs w:val="28"/>
          <w:shd w:val="clear" w:color="auto" w:fill="FFFFFF"/>
        </w:rPr>
        <w:t>Шумилинский историко-краеведческий музей</w:t>
      </w:r>
      <w:r w:rsidRPr="00E21E1C">
        <w:rPr>
          <w:rFonts w:ascii="Times New Roman" w:hAnsi="Times New Roman" w:cs="Times New Roman"/>
          <w:sz w:val="28"/>
          <w:szCs w:val="28"/>
          <w:shd w:val="clear" w:color="auto" w:fill="FFFFFF"/>
        </w:rPr>
        <w:t>, как музей Народной Славы, дл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 посещения открыт 22 ноября 1986 г.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1995 году в г.п. Шумилино и на территории Шумилинского района работает Общество с ограниченной ответственностью «Вежа».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мае 1999 года основан Костел Богоматери Фатимской, католический храм расположен на восточной окраине городского поселка.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15.12.2004 зарегистрирован ГУ «Территориальный центр социального обслуживания населения Шумилинского района».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2007 году в г.п. Шумилино проведена реконструкция, с установкой новой технологической линии по производству сыров жирных, Филиала Открытого Акционерного Общества «Молоко».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2013 году, на базе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неиспользуемого здания механических мастерских ОАО «Вистан», создано Общество с ограниченной ответственностью «Альянспластресурс». Предприятие производит тару полимерную для упаковки пищевых продуктов. </w:t>
      </w:r>
    </w:p>
    <w:p w:rsidR="00072E20" w:rsidRDefault="00072E20" w:rsidP="00072E20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72E20" w:rsidRDefault="00072E20" w:rsidP="00072E2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72E20" w:rsidRDefault="00072E20" w:rsidP="00072E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СОЦИАЛЬНО-ЭКОНОМИЧЕСКАЯ ХАРАКТЕРИСТИКА</w:t>
      </w:r>
    </w:p>
    <w:p w:rsidR="00072E20" w:rsidRDefault="00072E20" w:rsidP="00072E20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72E20" w:rsidRDefault="00072E20" w:rsidP="00072E20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Шумилино (бел. Шуміліна) - городской посёлок, административный центр Шумилинского района Витебской области Белоруссии, расположен в 40 км от Витебска. 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городской поселок проходят республиканские дороги Р20 (Витебск-Шумилино-Полоцк)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Р114 (Лепель - </w:t>
      </w:r>
      <w:hyperlink r:id="rId10" w:tooltip="Бешенковичи" w:history="1">
        <w:r w:rsidRPr="00FA475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Бешенковичи</w:t>
        </w:r>
      </w:hyperlink>
      <w:r w:rsidR="00FA475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Pr="00FA47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hyperlink r:id="rId11" w:tooltip="Городок (Витебская область)" w:history="1">
        <w:r w:rsidRPr="00FA475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Городок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). Железнодорожным сообщением связан с Витебском и Полоцком. </w:t>
      </w:r>
    </w:p>
    <w:p w:rsidR="00072E20" w:rsidRDefault="00072E20" w:rsidP="00072E20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г.п. Шумилино </w:t>
      </w:r>
      <w:r w:rsidR="00DA158B" w:rsidRPr="006660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проживает 57,2</w:t>
      </w:r>
      <w:r w:rsidRPr="00666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населения от населения Шумилинского района (</w:t>
      </w:r>
      <w:r w:rsidR="00DA158B" w:rsidRPr="006660C6">
        <w:rPr>
          <w:rFonts w:ascii="Times New Roman" w:eastAsia="Times New Roman" w:hAnsi="Times New Roman" w:cs="Times New Roman"/>
          <w:sz w:val="28"/>
          <w:szCs w:val="28"/>
          <w:lang w:eastAsia="ru-RU"/>
        </w:rPr>
        <w:t>16418</w:t>
      </w:r>
      <w:r w:rsidRPr="006660C6">
        <w:rPr>
          <w:rFonts w:ascii="Times New Roman" w:eastAsia="Times New Roman" w:hAnsi="Times New Roman" w:cs="Times New Roman"/>
          <w:sz w:val="28"/>
          <w:szCs w:val="28"/>
          <w:lang w:eastAsia="ru-RU"/>
        </w:rPr>
        <w:t>), на 1 января 202</w:t>
      </w:r>
      <w:r w:rsidR="006660C6" w:rsidRPr="006660C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666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численность городского посёлка составила 7</w:t>
      </w:r>
      <w:r w:rsidR="00FA4756" w:rsidRPr="006660C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660C6" w:rsidRPr="006660C6">
        <w:rPr>
          <w:rFonts w:ascii="Times New Roman" w:eastAsia="Times New Roman" w:hAnsi="Times New Roman" w:cs="Times New Roman"/>
          <w:sz w:val="28"/>
          <w:szCs w:val="28"/>
          <w:lang w:eastAsia="ru-RU"/>
        </w:rPr>
        <w:t>017</w:t>
      </w:r>
      <w:r w:rsidR="00FA4756" w:rsidRPr="00666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60C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человек.</w:t>
      </w:r>
    </w:p>
    <w:p w:rsidR="00072E20" w:rsidRDefault="00072E20" w:rsidP="00072E2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810000" cy="4048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20" w:rsidRDefault="00072E20" w:rsidP="00072E20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21E1C" w:rsidRDefault="00072E20" w:rsidP="0007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7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Ведущая роль в экономике района принадлежит агропромышленному комплексу, специализирующ</w:t>
      </w:r>
      <w:r w:rsidR="00E21E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емуся</w:t>
      </w:r>
      <w:r w:rsidRPr="00FA47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животноводстве. Агропромышленный комплекс района </w:t>
      </w:r>
      <w:r w:rsidR="006660C6" w:rsidRPr="006660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представлен 8</w:t>
      </w:r>
      <w:r w:rsidRPr="006660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хозяйствами.</w:t>
      </w:r>
      <w:r w:rsidRPr="006139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</w:p>
    <w:p w:rsidR="006660C6" w:rsidRPr="006660C6" w:rsidRDefault="00072E20" w:rsidP="006660C6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66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г.п. Шумилино </w:t>
      </w:r>
      <w:r w:rsidR="00E21E1C" w:rsidRPr="00666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расположено </w:t>
      </w:r>
      <w:r w:rsidRPr="006660C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КУПП «Шумилинский райагросервис»</w:t>
      </w:r>
      <w:r w:rsidR="00E21E1C" w:rsidRPr="00666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6660C6">
        <w:rPr>
          <w:rFonts w:ascii="Times New Roman" w:eastAsia="Times New Roman" w:hAnsi="Times New Roman" w:cs="Times New Roman"/>
          <w:sz w:val="28"/>
          <w:szCs w:val="28"/>
          <w:lang w:eastAsia="ru-RU"/>
        </w:rPr>
        <w:t>РММ г.п. Шумилино</w:t>
      </w:r>
      <w:r w:rsidR="006660C6" w:rsidRPr="00666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="006660C6" w:rsidRPr="00666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СУП «Ловжанское» (РММ аг. Никитиха), КУСХП «Улльский» (РММ аг. Кордон), ОАО «АгроБоровинка»</w:t>
      </w:r>
      <w:r w:rsidR="00666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(РММ аг. Башни) и другие.</w:t>
      </w:r>
    </w:p>
    <w:p w:rsidR="00072E20" w:rsidRDefault="00072E20" w:rsidP="006660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21E1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ромышленность представлена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унитарное предприятие жилищно-коммунальног</w:t>
      </w:r>
      <w:r w:rsidR="00E21E1C">
        <w:rPr>
          <w:rFonts w:ascii="Times New Roman" w:eastAsia="Times New Roman" w:hAnsi="Times New Roman" w:cs="Times New Roman"/>
          <w:sz w:val="28"/>
          <w:szCs w:val="28"/>
          <w:lang w:eastAsia="ru-RU"/>
        </w:rPr>
        <w:t>о хозяйства Шумилинского района, к</w:t>
      </w:r>
      <w:r w:rsidR="00E21E1C" w:rsidRPr="00E21E1C">
        <w:rPr>
          <w:rFonts w:ascii="Times New Roman" w:eastAsia="Times New Roman" w:hAnsi="Times New Roman" w:cs="Times New Roman"/>
          <w:sz w:val="28"/>
          <w:szCs w:val="28"/>
          <w:lang w:eastAsia="ru-RU"/>
        </w:rPr>
        <w:t>оммунальное унитарное строительное предприятие "Шумилинская ПМК-70"</w:t>
      </w:r>
      <w:r w:rsidR="00E21E1C">
        <w:rPr>
          <w:rFonts w:ascii="Times New Roman" w:eastAsia="Times New Roman" w:hAnsi="Times New Roman" w:cs="Times New Roman"/>
          <w:sz w:val="28"/>
          <w:szCs w:val="28"/>
          <w:lang w:eastAsia="ru-RU"/>
        </w:rPr>
        <w:t>, г</w:t>
      </w:r>
      <w:r w:rsidR="00E21E1C" w:rsidRPr="00E21E1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осударственное лесохозяйственное учреждение Шумилинский лесхоз</w:t>
      </w:r>
      <w:r w:rsidR="00E21E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г.п. Шумилино осуществляют деятельность </w:t>
      </w:r>
      <w:r w:rsidR="00D81B5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21E1C" w:rsidRPr="00E21E1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роизводственный цех г.п. Шумилино ОАО "Полоцкий молочный комбинат"</w:t>
      </w:r>
      <w:r w:rsidR="00E21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убойный цех общества с ограниченной ответственностью «Витконпродукт». Промышленные предприятия частной формы собственности: общество с ограниченной ответственностью «Вежа» осуществляет производство слабоалкогольных напитков и вин плодовых, </w:t>
      </w:r>
      <w:r w:rsidR="00E21E1C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«Славянский продукт» осуществляет производство водки, общество с ограниченной ответственностью «Альянспластресурс» - производство тары пластмассовой.</w:t>
      </w:r>
    </w:p>
    <w:p w:rsidR="00072E20" w:rsidRPr="006660C6" w:rsidRDefault="00072E20" w:rsidP="0007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 района является дотационным. </w:t>
      </w:r>
      <w:r w:rsidRPr="00D972CA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дотационности</w:t>
      </w:r>
      <w:r w:rsidRPr="00D972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составляет</w:t>
      </w:r>
      <w:r w:rsidR="006660C6" w:rsidRPr="00D97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61,7 % в 2022</w:t>
      </w:r>
      <w:r w:rsidRPr="00D97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году, планируе</w:t>
      </w:r>
      <w:r w:rsidR="006660C6" w:rsidRPr="00D972CA">
        <w:rPr>
          <w:rFonts w:ascii="Times New Roman" w:eastAsia="Times New Roman" w:hAnsi="Times New Roman" w:cs="Times New Roman"/>
          <w:sz w:val="28"/>
          <w:szCs w:val="28"/>
          <w:lang w:eastAsia="ru-RU"/>
        </w:rPr>
        <w:t>мый уровень дотационности в 2023</w:t>
      </w:r>
      <w:r w:rsidRPr="00D97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="00E21E1C" w:rsidRPr="00D972CA">
        <w:rPr>
          <w:rFonts w:ascii="Times New Roman" w:eastAsia="Times New Roman" w:hAnsi="Times New Roman" w:cs="Times New Roman"/>
          <w:sz w:val="28"/>
          <w:szCs w:val="28"/>
          <w:lang w:eastAsia="ru-RU"/>
        </w:rPr>
        <w:t>54</w:t>
      </w:r>
      <w:r w:rsidRPr="00D97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%. В расходной части бюджета более 70 % расходов приходится на социальную сферу.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образования </w:t>
      </w:r>
      <w:r w:rsidRPr="003F5D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включает </w:t>
      </w:r>
      <w:r w:rsidRPr="004B5240">
        <w:rPr>
          <w:rFonts w:ascii="Times New Roman" w:eastAsia="Times New Roman" w:hAnsi="Times New Roman" w:cs="Times New Roman"/>
          <w:sz w:val="28"/>
          <w:szCs w:val="28"/>
          <w:lang w:eastAsia="ru-RU"/>
        </w:rPr>
        <w:t>9 учреждений образования, в том числе 4 учреждения дошкольного образования, 2 учреждения общего</w:t>
      </w:r>
      <w:r w:rsidRPr="003F5D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образования, центр коррекционно-развивающего обучения и реабилитации, учреждение дополнительного образования (районный центр детей и молодежи), социально-педагогический центр.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культуры в Шумилинском районе обеспечивают </w:t>
      </w:r>
      <w:r w:rsidRPr="00843EAE">
        <w:rPr>
          <w:rFonts w:ascii="Times New Roman" w:eastAsia="Times New Roman" w:hAnsi="Times New Roman" w:cs="Times New Roman"/>
          <w:sz w:val="28"/>
          <w:szCs w:val="28"/>
          <w:lang w:eastAsia="ru-RU"/>
        </w:rPr>
        <w:t>43 учреждения.</w:t>
      </w:r>
      <w:r w:rsidRPr="003F5D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34 подведомственных учреждений и 9 филиалов обеспечивает </w:t>
      </w:r>
      <w:r w:rsidRPr="00843EA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кадровый состав в количестве 213 человек.</w:t>
      </w:r>
      <w:r w:rsidRPr="003F5D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г.п. Шумилино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находятся 2 филиала ГУК «Шумилинская централизованная библиотечная система»: детская библиотека и Горпоселковая библиотека «Добеевский мох», 1 филиал ГУК «Шумилинский районный центр культуры»: «Автоклуб».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Медицинскую помощь населению оказывает учреждение здравоохранения «Шумилинская центральная районная больница</w:t>
      </w:r>
      <w:r w:rsidR="00E21E1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организации физкультурно-оздоровительной работы функционируют </w:t>
      </w:r>
      <w:hyperlink r:id="rId13" w:history="1">
        <w:r w:rsidR="00301B23" w:rsidRPr="003F5DFB">
          <w:rPr>
            <w:rStyle w:val="a3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u w:val="none"/>
            <w:lang w:eastAsia="ru-RU"/>
          </w:rPr>
          <w:t>государственное</w:t>
        </w:r>
        <w:r w:rsidRPr="003F5DFB">
          <w:rPr>
            <w:rStyle w:val="a3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u w:val="none"/>
            <w:lang w:eastAsia="ru-RU"/>
          </w:rPr>
          <w:t xml:space="preserve"> учреждение</w:t>
        </w:r>
      </w:hyperlink>
      <w:r w:rsidR="00301B23" w:rsidRPr="003F5DF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3F5DF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Шумилинская </w:t>
      </w:r>
      <w:r w:rsidR="00301B2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специализированная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детско-юношеская школа</w:t>
      </w:r>
      <w:r w:rsidR="00301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олимпийского резерва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государственное учреждение «Физкультурно-оздоровительный центр Шумилинского района», ГУДО «Шумилинский районный центр детей и молодежи», спортивные площадки ГУО  "Средняя школа №1 им. Героя Советского Союза П.А. Акуционка г.п. Шумилино", ГУО "Средняя школа №2 имени А.И. Дубосарского г.п.Шумилино".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Торговое обслуживание населения </w:t>
      </w:r>
      <w:r w:rsidR="004B5240" w:rsidRPr="004B5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г.п. Шумилино </w:t>
      </w:r>
      <w:r w:rsidRPr="004B5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обеспечивают </w:t>
      </w:r>
      <w:r w:rsidR="004B5240" w:rsidRPr="004B5240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Pr="004B5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торговых объектов и </w:t>
      </w:r>
      <w:r w:rsidR="00E21E1C" w:rsidRPr="004B5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="004B524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общественного питания.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72E20" w:rsidRDefault="00072E20" w:rsidP="00072E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E20" w:rsidRDefault="00072E20" w:rsidP="00FF39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2E20" w:rsidRDefault="00072E20" w:rsidP="00072E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E20" w:rsidRDefault="00072E20" w:rsidP="00072E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E20" w:rsidRDefault="00072E20" w:rsidP="00072E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E20" w:rsidRDefault="00072E20" w:rsidP="00072E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E20" w:rsidRDefault="00072E20" w:rsidP="00072E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E20" w:rsidRDefault="00072E20" w:rsidP="00FF39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2E20" w:rsidRDefault="00072E20" w:rsidP="00072E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E20" w:rsidRDefault="00072E20" w:rsidP="00072E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E20" w:rsidRDefault="00072E20" w:rsidP="00072E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E20" w:rsidRDefault="00072E20" w:rsidP="00072E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Санитарно-гигиеническая характеристика г.п. Шумилино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Водоснабжение 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Питьевое водоснабжение в г.п. Шумилино базируется на использовании подземных источников, качество которых отвечает установленным санитарно-эпидемиологическим требованиям.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питьевого водоснабжения г.п. Шумилино используются </w:t>
      </w:r>
      <w:r w:rsidRPr="00A62CEA">
        <w:rPr>
          <w:rFonts w:ascii="Times New Roman" w:hAnsi="Times New Roman" w:cs="Times New Roman"/>
          <w:sz w:val="28"/>
          <w:szCs w:val="28"/>
        </w:rPr>
        <w:t>5 подземных источников централизованного питьевого водоснабжени</w:t>
      </w:r>
      <w:r>
        <w:rPr>
          <w:rFonts w:ascii="Times New Roman" w:hAnsi="Times New Roman" w:cs="Times New Roman"/>
          <w:sz w:val="28"/>
          <w:szCs w:val="28"/>
        </w:rPr>
        <w:t>я (артезианские скважины), находящиеся на балансе филиала «Полоцкводоканал» УП «Витебскоблводоканал</w:t>
      </w:r>
      <w:r w:rsidRPr="003F5DFB">
        <w:rPr>
          <w:rFonts w:ascii="Times New Roman" w:hAnsi="Times New Roman" w:cs="Times New Roman"/>
          <w:sz w:val="28"/>
          <w:szCs w:val="28"/>
        </w:rPr>
        <w:t xml:space="preserve">». </w:t>
      </w:r>
      <w:r w:rsidR="00FF39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Скважины подают воду на водонапорную башню и далее в распределительную сеть г.п. Шумилино.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 водозабора «Лесковичи» входит </w:t>
      </w:r>
      <w:r w:rsidRPr="00A62CEA">
        <w:rPr>
          <w:rFonts w:ascii="Times New Roman" w:hAnsi="Times New Roman" w:cs="Times New Roman"/>
          <w:sz w:val="28"/>
          <w:szCs w:val="28"/>
        </w:rPr>
        <w:t>четыре артезианские</w:t>
      </w:r>
      <w:r>
        <w:rPr>
          <w:rFonts w:ascii="Times New Roman" w:hAnsi="Times New Roman" w:cs="Times New Roman"/>
          <w:sz w:val="28"/>
          <w:szCs w:val="28"/>
        </w:rPr>
        <w:t xml:space="preserve"> скважины, размещенные в заглубленных обвалованных колодцах. Распределительная система г.п. Шумилино для водозабора «Лесковичи» состоит из чугунных, полиэтиленовых и стальных труб, протяжённостью </w:t>
      </w:r>
      <w:r w:rsidRPr="003F5DFB">
        <w:rPr>
          <w:rFonts w:ascii="Times New Roman" w:hAnsi="Times New Roman" w:cs="Times New Roman"/>
          <w:sz w:val="28"/>
          <w:szCs w:val="28"/>
        </w:rPr>
        <w:t>14,6 км и диаметром водопровода 32-250 мм.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обеспечения качественной питьевой водой населения г.п. Шумилино, филиалом «Полоцкводоканал» УП «Витебскоблводоканал» разработана рабочая </w:t>
      </w:r>
      <w:r w:rsidRPr="00A62CEA">
        <w:rPr>
          <w:rFonts w:ascii="Times New Roman" w:hAnsi="Times New Roman" w:cs="Times New Roman"/>
          <w:sz w:val="28"/>
          <w:szCs w:val="28"/>
        </w:rPr>
        <w:t xml:space="preserve">программа производственного </w:t>
      </w:r>
      <w:r w:rsidRPr="00A62CEA">
        <w:rPr>
          <w:rFonts w:ascii="Times New Roman" w:hAnsi="Times New Roman" w:cs="Times New Roman"/>
          <w:color w:val="000000" w:themeColor="text1"/>
          <w:sz w:val="28"/>
          <w:szCs w:val="28"/>
        </w:rPr>
        <w:t>контроля качества питьевой воды по водозабору г.п. Шумилино на 20</w:t>
      </w:r>
      <w:r w:rsidR="00A62CEA" w:rsidRPr="00A62CEA">
        <w:rPr>
          <w:rFonts w:ascii="Times New Roman" w:hAnsi="Times New Roman" w:cs="Times New Roman"/>
          <w:color w:val="000000" w:themeColor="text1"/>
          <w:sz w:val="28"/>
          <w:szCs w:val="28"/>
        </w:rPr>
        <w:t>22-2023</w:t>
      </w:r>
      <w:r w:rsidRPr="00A62C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годы.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Производственный лабораторный контроль осуществляется на базе лаборатории филиала «Полоцкводоканал» УП «Витебскоблводоканал». Сведения о результатах лабораторного контроля ежемесячно предоставляются в ГУ «Шумилинский</w:t>
      </w:r>
      <w:r w:rsidR="00FF39FB">
        <w:rPr>
          <w:rFonts w:ascii="Times New Roman" w:hAnsi="Times New Roman" w:cs="Times New Roman"/>
          <w:sz w:val="28"/>
          <w:szCs w:val="28"/>
        </w:rPr>
        <w:t xml:space="preserve"> районный центр гигиены и эпидемиологии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Обслуживанием водопроводов г.п. Шумилино занято </w:t>
      </w:r>
      <w:r w:rsidR="00FF39FB" w:rsidRPr="00A62CEA">
        <w:rPr>
          <w:rFonts w:ascii="Times New Roman" w:hAnsi="Times New Roman" w:cs="Times New Roman"/>
          <w:sz w:val="28"/>
          <w:szCs w:val="28"/>
        </w:rPr>
        <w:t>1 бригада</w:t>
      </w:r>
      <w:r w:rsidRPr="00A62CEA">
        <w:rPr>
          <w:rFonts w:ascii="Times New Roman" w:hAnsi="Times New Roman" w:cs="Times New Roman"/>
          <w:sz w:val="28"/>
          <w:szCs w:val="28"/>
        </w:rPr>
        <w:t xml:space="preserve"> УВКХ</w:t>
      </w:r>
      <w:r>
        <w:rPr>
          <w:rFonts w:ascii="Times New Roman" w:hAnsi="Times New Roman" w:cs="Times New Roman"/>
          <w:sz w:val="28"/>
          <w:szCs w:val="28"/>
        </w:rPr>
        <w:t xml:space="preserve"> (участок водопроводно-канализационного хозяйства) Шумилинского района филиала «Полоцкводоканал»</w:t>
      </w:r>
      <w:r w:rsidR="00FF39FB" w:rsidRPr="00FF39FB">
        <w:t xml:space="preserve"> </w:t>
      </w:r>
      <w:r w:rsidR="00FF39FB" w:rsidRPr="00FF39FB">
        <w:rPr>
          <w:rFonts w:ascii="Times New Roman" w:hAnsi="Times New Roman" w:cs="Times New Roman"/>
          <w:sz w:val="28"/>
          <w:szCs w:val="28"/>
        </w:rPr>
        <w:t>УП «Витебскоблводоканал»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2E20" w:rsidRPr="003F5DFB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Цели устойчивого развития 6 «Обеспечение наличия и рационального использования водных ресурсов и санитарии</w:t>
      </w:r>
      <w:r w:rsidR="00FF39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всех», реализуется подпрограмма «Чистая вода» Государственной программы «Комфортное жилье и благоприятная среда» на </w:t>
      </w:r>
      <w:r w:rsidRPr="007C4A22">
        <w:rPr>
          <w:rFonts w:ascii="Times New Roman" w:hAnsi="Times New Roman" w:cs="Times New Roman"/>
          <w:sz w:val="28"/>
          <w:szCs w:val="28"/>
        </w:rPr>
        <w:t>20</w:t>
      </w:r>
      <w:r w:rsidR="007C4A22" w:rsidRPr="007C4A22">
        <w:rPr>
          <w:rFonts w:ascii="Times New Roman" w:hAnsi="Times New Roman" w:cs="Times New Roman"/>
          <w:sz w:val="28"/>
          <w:szCs w:val="28"/>
        </w:rPr>
        <w:t>21</w:t>
      </w:r>
      <w:r w:rsidRPr="007C4A22">
        <w:rPr>
          <w:rFonts w:ascii="Times New Roman" w:hAnsi="Times New Roman" w:cs="Times New Roman"/>
          <w:sz w:val="28"/>
          <w:szCs w:val="28"/>
        </w:rPr>
        <w:t>-2</w:t>
      </w:r>
      <w:r w:rsidR="007C4A22" w:rsidRPr="007C4A22">
        <w:rPr>
          <w:rFonts w:ascii="Times New Roman" w:hAnsi="Times New Roman" w:cs="Times New Roman"/>
          <w:sz w:val="28"/>
          <w:szCs w:val="28"/>
        </w:rPr>
        <w:t>025</w:t>
      </w:r>
      <w:r>
        <w:rPr>
          <w:rFonts w:ascii="Times New Roman" w:hAnsi="Times New Roman" w:cs="Times New Roman"/>
          <w:sz w:val="28"/>
          <w:szCs w:val="28"/>
        </w:rPr>
        <w:t xml:space="preserve"> годы, направленная на обеспечение бесперебойного водоснабжения населения качественной питьевой водой, </w:t>
      </w:r>
      <w:r w:rsidRPr="003F5DFB">
        <w:rPr>
          <w:rFonts w:ascii="Times New Roman" w:hAnsi="Times New Roman" w:cs="Times New Roman"/>
          <w:sz w:val="28"/>
          <w:szCs w:val="28"/>
        </w:rPr>
        <w:t xml:space="preserve">совершенствование форм управления водоснабжением. 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09F6">
        <w:rPr>
          <w:rFonts w:ascii="Times New Roman" w:hAnsi="Times New Roman" w:cs="Times New Roman"/>
          <w:sz w:val="28"/>
          <w:szCs w:val="28"/>
        </w:rPr>
        <w:t>Водопровод обслуживает</w:t>
      </w:r>
      <w:r w:rsidR="00747532" w:rsidRPr="002409F6">
        <w:rPr>
          <w:rFonts w:ascii="Times New Roman" w:hAnsi="Times New Roman" w:cs="Times New Roman"/>
          <w:sz w:val="28"/>
          <w:szCs w:val="28"/>
        </w:rPr>
        <w:t xml:space="preserve"> </w:t>
      </w:r>
      <w:r w:rsidR="00A62CEA" w:rsidRPr="002409F6">
        <w:rPr>
          <w:rFonts w:ascii="Times New Roman" w:hAnsi="Times New Roman" w:cs="Times New Roman"/>
          <w:sz w:val="28"/>
          <w:szCs w:val="28"/>
        </w:rPr>
        <w:t xml:space="preserve">15448 человек Шумилинского района, из них </w:t>
      </w:r>
      <w:r w:rsidR="00747532" w:rsidRPr="002409F6">
        <w:rPr>
          <w:rFonts w:ascii="Times New Roman" w:hAnsi="Times New Roman" w:cs="Times New Roman"/>
          <w:sz w:val="28"/>
          <w:szCs w:val="28"/>
        </w:rPr>
        <w:t>7389 человек</w:t>
      </w:r>
      <w:r w:rsidR="00A62CEA" w:rsidRPr="002409F6">
        <w:rPr>
          <w:rFonts w:ascii="Times New Roman" w:hAnsi="Times New Roman" w:cs="Times New Roman"/>
          <w:sz w:val="28"/>
          <w:szCs w:val="28"/>
        </w:rPr>
        <w:t xml:space="preserve"> г.п. Шумилино</w:t>
      </w:r>
      <w:r w:rsidR="00747532" w:rsidRPr="002409F6">
        <w:rPr>
          <w:rFonts w:ascii="Times New Roman" w:hAnsi="Times New Roman" w:cs="Times New Roman"/>
          <w:sz w:val="28"/>
          <w:szCs w:val="28"/>
        </w:rPr>
        <w:t xml:space="preserve">, </w:t>
      </w:r>
      <w:r w:rsidR="00A62CEA" w:rsidRPr="002409F6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747532" w:rsidRPr="002409F6">
        <w:rPr>
          <w:rFonts w:ascii="Times New Roman" w:hAnsi="Times New Roman" w:cs="Times New Roman"/>
          <w:sz w:val="28"/>
          <w:szCs w:val="28"/>
        </w:rPr>
        <w:t xml:space="preserve">из них 7893 - </w:t>
      </w:r>
      <w:r w:rsidRPr="002409F6">
        <w:rPr>
          <w:rFonts w:ascii="Times New Roman" w:hAnsi="Times New Roman" w:cs="Times New Roman"/>
          <w:sz w:val="28"/>
          <w:szCs w:val="28"/>
        </w:rPr>
        <w:t xml:space="preserve">по договору или </w:t>
      </w:r>
      <w:r w:rsidR="00FF39FB" w:rsidRPr="002409F6">
        <w:rPr>
          <w:rFonts w:ascii="Times New Roman" w:hAnsi="Times New Roman" w:cs="Times New Roman"/>
          <w:sz w:val="28"/>
          <w:szCs w:val="28"/>
        </w:rPr>
        <w:t>106,73</w:t>
      </w:r>
      <w:r w:rsidRPr="002409F6">
        <w:rPr>
          <w:rFonts w:ascii="Times New Roman" w:hAnsi="Times New Roman" w:cs="Times New Roman"/>
          <w:sz w:val="28"/>
          <w:szCs w:val="28"/>
        </w:rPr>
        <w:t>% от проживающего населения. Водоснабжение в основном осуществляет многоэтажную жилую застройку, 50 жилых</w:t>
      </w:r>
      <w:r>
        <w:rPr>
          <w:rFonts w:ascii="Times New Roman" w:hAnsi="Times New Roman" w:cs="Times New Roman"/>
          <w:sz w:val="28"/>
          <w:szCs w:val="28"/>
        </w:rPr>
        <w:t xml:space="preserve"> многоэтажных домов, предприятия, административные здания и учреждения г.п. Шумилино.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Водоотведение 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Очистные сооружения </w:t>
      </w:r>
      <w:r>
        <w:rPr>
          <w:rFonts w:ascii="Times New Roman" w:hAnsi="Times New Roman" w:cs="Times New Roman"/>
          <w:sz w:val="28"/>
          <w:szCs w:val="28"/>
        </w:rPr>
        <w:t>филиала «Полоцкводоканал» УП «Витебскоблводоканал»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г.п. Шумилино состоят из приемной камеры, блока аэротенков, отстойников, комплекса резервуаров, иловых площадок и биологических прудов. Проектная мощность 200 м/сутки. 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системе централизованного водоотведения подключены многоэтажные жилые дома, организации</w:t>
      </w:r>
      <w:r w:rsidR="00D81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учреждения образования, часть жилого частного сектора.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частном секторе используется в основном локальное удаление сточных вод, по заявкам спецтранспортом УП ЖКХ Шумилинского района.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2E20" w:rsidRDefault="00072E20" w:rsidP="00072E20">
      <w:pPr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u w:val="single"/>
          <w:lang w:eastAsia="ru-RU"/>
        </w:rPr>
        <w:t xml:space="preserve">Атмосферный воздух 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Загрязнение атмосферного воздуха может оказывать различное воздействие на организм и зависит от его вида, концентрации, длительности и периодичности воздействия. 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 валового выброса загрязняющих веществ от стационарных источников в атмосферный воздух за 202</w:t>
      </w:r>
      <w:r w:rsidR="00675F90" w:rsidRPr="00D9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FF39FB" w:rsidRPr="00D9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</w:t>
      </w:r>
      <w:r w:rsidRPr="00D9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составил </w:t>
      </w:r>
      <w:r w:rsidR="00C217BF" w:rsidRPr="00D9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D9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,6 тысяч тонн</w:t>
      </w:r>
      <w:r w:rsidRPr="003F5D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Основными промышленными источниками загрязнения атмосферного воздуха в г.п. Шумилино являются: ООО «Альянспластресурс», ООО «Витконпродукт», </w:t>
      </w:r>
      <w:r w:rsidR="00D81B5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81B55" w:rsidRPr="00E21E1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роизводственный цех г.п. Шумилино ОАО "Полоцкий молочный комбинат"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центральная котельная УП ЖКХ г.п. Шумилино. 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Специалистами ЦГЭ проведен анализ качественного состава выбросов загрязняющих веществ в атмосферный воздух от предприятий и организаций района. 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основании анализа установлено, что основными загрязняющими веществами в атмосферный воздух являются твердые взвешенные частицы, углерода оксид, азота диоксид, серы диоксид и др. На протяжении последних пяти лет по результатам лабораторных измерений не отмечается превышение предельно-допустимых концентраций уровней загрязнения воздуха в целом, так и по показателям углерода оксид, азота диоксид, серы диоксид. 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2E20" w:rsidRDefault="00072E20" w:rsidP="00072E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E20" w:rsidRDefault="00072E20" w:rsidP="00072E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E20" w:rsidRDefault="00072E20" w:rsidP="00072E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E20" w:rsidRDefault="00072E20" w:rsidP="00072E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E20" w:rsidRDefault="00072E20" w:rsidP="00072E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E20" w:rsidRDefault="00072E20" w:rsidP="00072E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E20" w:rsidRDefault="00072E20" w:rsidP="00072E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E20" w:rsidRDefault="00072E20" w:rsidP="00072E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E20" w:rsidRDefault="00072E20" w:rsidP="00072E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E20" w:rsidRDefault="00072E20" w:rsidP="00072E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E20" w:rsidRDefault="00072E20" w:rsidP="00072E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E20" w:rsidRDefault="00072E20" w:rsidP="00072E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E20" w:rsidRDefault="00072E20" w:rsidP="00072E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B55" w:rsidRDefault="00D81B55" w:rsidP="00072E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B55" w:rsidRDefault="00D81B55" w:rsidP="00072E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E20" w:rsidRDefault="00072E20" w:rsidP="003D3F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74B5" w:rsidRDefault="009274B5" w:rsidP="003D3F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2E20" w:rsidRDefault="00DC6BF7" w:rsidP="00072E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СОСТОЯНИЕ ЗДОРОВЬЯ НАСЕЛЕНИЯ</w:t>
      </w:r>
    </w:p>
    <w:p w:rsidR="00DC6BF7" w:rsidRDefault="00DC6BF7" w:rsidP="00072E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E20" w:rsidRDefault="00072E20" w:rsidP="00072E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Медико-демографическая ситуация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Медико-демографические показатели характеризуют состояние здоровья населения и являются индикатором социально-экономического развития общества.</w:t>
      </w:r>
    </w:p>
    <w:p w:rsidR="00D81B55" w:rsidRPr="000160BB" w:rsidRDefault="00D81B55" w:rsidP="000160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0BB">
        <w:rPr>
          <w:rFonts w:ascii="Times New Roman" w:hAnsi="Times New Roman" w:cs="Times New Roman"/>
          <w:sz w:val="28"/>
          <w:szCs w:val="28"/>
        </w:rPr>
        <w:t xml:space="preserve">Демографическая ситуация в г.п. Шумилино характеризуется снижением численности населения. </w:t>
      </w:r>
      <w:r w:rsidR="000160BB" w:rsidRPr="000160BB">
        <w:rPr>
          <w:rFonts w:ascii="Times New Roman" w:hAnsi="Times New Roman" w:cs="Times New Roman"/>
          <w:sz w:val="28"/>
          <w:szCs w:val="28"/>
        </w:rPr>
        <w:t>За последние 5 лет</w:t>
      </w:r>
      <w:r w:rsidR="000160BB" w:rsidRPr="000160BB">
        <w:rPr>
          <w:color w:val="000000"/>
          <w:spacing w:val="1"/>
          <w:szCs w:val="28"/>
        </w:rPr>
        <w:t xml:space="preserve"> </w:t>
      </w:r>
      <w:r w:rsidR="000160BB" w:rsidRPr="000160BB">
        <w:rPr>
          <w:rFonts w:ascii="Times New Roman" w:hAnsi="Times New Roman" w:cs="Times New Roman"/>
          <w:color w:val="000000"/>
          <w:spacing w:val="1"/>
          <w:sz w:val="28"/>
          <w:szCs w:val="28"/>
        </w:rPr>
        <w:t>численность сельского населения сократилась на 465 человек, численность сельского населения сократилась на 783 человека</w:t>
      </w:r>
      <w:r w:rsidR="000160BB" w:rsidRPr="000160BB">
        <w:rPr>
          <w:rFonts w:ascii="Times New Roman" w:hAnsi="Times New Roman" w:cs="Times New Roman"/>
          <w:sz w:val="28"/>
          <w:szCs w:val="28"/>
        </w:rPr>
        <w:t>.</w:t>
      </w:r>
      <w:r w:rsidR="000160BB" w:rsidRPr="000160BB">
        <w:rPr>
          <w:rFonts w:ascii="Times New Roman" w:hAnsi="Times New Roman" w:cs="Times New Roman"/>
          <w:sz w:val="32"/>
          <w:szCs w:val="28"/>
        </w:rPr>
        <w:t xml:space="preserve"> </w:t>
      </w:r>
      <w:r w:rsidR="000160BB" w:rsidRPr="000160BB">
        <w:rPr>
          <w:rFonts w:ascii="Times New Roman" w:hAnsi="Times New Roman" w:cs="Times New Roman"/>
          <w:sz w:val="28"/>
          <w:szCs w:val="28"/>
        </w:rPr>
        <w:t xml:space="preserve">На </w:t>
      </w:r>
      <w:r w:rsidRPr="000160BB">
        <w:rPr>
          <w:rFonts w:ascii="Times New Roman" w:hAnsi="Times New Roman" w:cs="Times New Roman"/>
          <w:sz w:val="28"/>
          <w:szCs w:val="28"/>
        </w:rPr>
        <w:t xml:space="preserve">территории г.п. Шумилино проживает </w:t>
      </w:r>
      <w:r w:rsidR="00675F90" w:rsidRPr="000160BB">
        <w:rPr>
          <w:rFonts w:ascii="Times New Roman" w:hAnsi="Times New Roman" w:cs="Times New Roman"/>
          <w:sz w:val="28"/>
          <w:szCs w:val="28"/>
        </w:rPr>
        <w:t>57,2</w:t>
      </w:r>
      <w:r w:rsidRPr="000160BB">
        <w:rPr>
          <w:rFonts w:ascii="Times New Roman" w:hAnsi="Times New Roman" w:cs="Times New Roman"/>
          <w:sz w:val="28"/>
          <w:szCs w:val="28"/>
        </w:rPr>
        <w:t xml:space="preserve">% от численности всего населения района, так на </w:t>
      </w:r>
      <w:r w:rsidR="00675F90" w:rsidRPr="000160BB">
        <w:rPr>
          <w:rFonts w:ascii="Times New Roman" w:hAnsi="Times New Roman" w:cs="Times New Roman"/>
          <w:sz w:val="28"/>
          <w:szCs w:val="28"/>
        </w:rPr>
        <w:t>01.01.2023 года – 7017</w:t>
      </w:r>
      <w:r w:rsidRPr="000160BB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D81B55" w:rsidRDefault="00D81B55" w:rsidP="000160BB">
      <w:pPr>
        <w:spacing w:after="0" w:line="240" w:lineRule="auto"/>
        <w:ind w:left="2410"/>
        <w:rPr>
          <w:rFonts w:ascii="Times New Roman" w:hAnsi="Times New Roman" w:cs="Times New Roman"/>
          <w:b/>
          <w:sz w:val="28"/>
          <w:szCs w:val="28"/>
        </w:rPr>
      </w:pPr>
      <w:r w:rsidRPr="00D81B55">
        <w:rPr>
          <w:rFonts w:ascii="Times New Roman" w:hAnsi="Times New Roman" w:cs="Times New Roman"/>
          <w:b/>
          <w:sz w:val="28"/>
          <w:szCs w:val="28"/>
        </w:rPr>
        <w:t>Медико-демографический индекс</w:t>
      </w:r>
    </w:p>
    <w:p w:rsidR="004A2D4C" w:rsidRPr="001E02AE" w:rsidRDefault="00D81B55" w:rsidP="001E02AE">
      <w:pPr>
        <w:rPr>
          <w:rFonts w:ascii="Times New Roman" w:eastAsia="Calibri" w:hAnsi="Times New Roman" w:cs="Times New Roman"/>
          <w:sz w:val="28"/>
          <w:szCs w:val="28"/>
        </w:rPr>
      </w:pPr>
      <w:r w:rsidRPr="00D81B55">
        <w:rPr>
          <w:rFonts w:ascii="Times New Roman" w:hAnsi="Times New Roman" w:cs="Times New Roman"/>
          <w:sz w:val="28"/>
          <w:szCs w:val="28"/>
        </w:rPr>
        <w:tab/>
      </w:r>
      <w:r w:rsidR="001E02AE" w:rsidRPr="001E02AE">
        <w:rPr>
          <w:rFonts w:ascii="Times New Roman" w:eastAsia="Calibri" w:hAnsi="Times New Roman" w:cs="Times New Roman"/>
          <w:sz w:val="28"/>
          <w:szCs w:val="28"/>
        </w:rPr>
        <w:t>Для получения обобщенной оценки здоровья населения был проведен расчет медико-демографического индекса здоровья Шумилинского района (далее - МДИ), который включен в реализацию профилактического проекта «Здоровые города и поселки». Показатели, характеризующие здоровье населения, выбранные для расчета медико-демографического индекса: смертность, рождаемость, младенческая смертность, общая заболеваемость всего населения, первичная инвалидность трудоспособного населения. При благополучии окружающей среды обобщенный индекс выше 65% (Шумилинский район – 69%) МДИ г.п. Шумилино как территории здоровья составил 67.</w:t>
      </w:r>
    </w:p>
    <w:p w:rsidR="00072E20" w:rsidRDefault="004A2D4C" w:rsidP="004A2D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2D4C">
        <w:rPr>
          <w:rFonts w:ascii="Times New Roman" w:hAnsi="Times New Roman" w:cs="Times New Roman"/>
          <w:b/>
          <w:sz w:val="28"/>
          <w:szCs w:val="28"/>
        </w:rPr>
        <w:t>Общая заболеваемость</w:t>
      </w:r>
    </w:p>
    <w:p w:rsidR="004A2D4C" w:rsidRPr="004A2D4C" w:rsidRDefault="004A2D4C" w:rsidP="004A2D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Заболеваемость является одним из важнейших параметров, характеризующих здоровье населения. Величина этого показателя зависит как от частоты распространения патологии среди населения, так и от многих других факторов – системы организации сбора данных, доступности медицинской помощи, наличия специалистов и т.д. Данные об уровнях и динамике показателей заболеваемости среди населения позволяют определить приоритетные проблемы здравоохранения, спланировать потребность в различных видах медицинской помощи, оценить эффективность лечебных и профилактических мероприятий. </w:t>
      </w:r>
    </w:p>
    <w:p w:rsidR="004A2D4C" w:rsidRPr="005170EF" w:rsidRDefault="00072E20" w:rsidP="005170EF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 статистическим данным УЗ «Шумилинская ЦРБ» показатель </w:t>
      </w:r>
      <w:r w:rsidRPr="00E91809">
        <w:rPr>
          <w:rFonts w:ascii="Times New Roman" w:hAnsi="Times New Roman" w:cs="Times New Roman"/>
          <w:sz w:val="28"/>
          <w:szCs w:val="28"/>
        </w:rPr>
        <w:t xml:space="preserve">общей заболеваемости населения г.п. Шумилино в </w:t>
      </w:r>
      <w:r w:rsidRPr="00EC7E40">
        <w:rPr>
          <w:rFonts w:ascii="Times New Roman" w:hAnsi="Times New Roman" w:cs="Times New Roman"/>
          <w:sz w:val="28"/>
          <w:szCs w:val="28"/>
        </w:rPr>
        <w:t>202</w:t>
      </w:r>
      <w:r w:rsidR="00EC7E40" w:rsidRPr="00EC7E40">
        <w:rPr>
          <w:rFonts w:ascii="Times New Roman" w:hAnsi="Times New Roman" w:cs="Times New Roman"/>
          <w:sz w:val="28"/>
          <w:szCs w:val="28"/>
        </w:rPr>
        <w:t>2</w:t>
      </w:r>
      <w:r w:rsidRPr="00EC7E40">
        <w:rPr>
          <w:rFonts w:ascii="Times New Roman" w:hAnsi="Times New Roman" w:cs="Times New Roman"/>
          <w:sz w:val="28"/>
          <w:szCs w:val="28"/>
        </w:rPr>
        <w:t xml:space="preserve"> году составил</w:t>
      </w:r>
      <w:r w:rsidR="00425735" w:rsidRPr="00EC7E40">
        <w:rPr>
          <w:rFonts w:ascii="Times New Roman" w:hAnsi="Times New Roman" w:cs="Times New Roman"/>
          <w:sz w:val="28"/>
          <w:szCs w:val="28"/>
        </w:rPr>
        <w:t xml:space="preserve"> </w:t>
      </w:r>
      <w:r w:rsidR="00EC7E40" w:rsidRPr="00EC7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2731,5</w:t>
      </w:r>
      <w:r w:rsidR="003D3FE2" w:rsidRPr="00E91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91809">
        <w:rPr>
          <w:rFonts w:ascii="Times New Roman" w:hAnsi="Times New Roman" w:cs="Times New Roman"/>
          <w:sz w:val="28"/>
          <w:szCs w:val="28"/>
        </w:rPr>
        <w:t>на 1000 населения.</w:t>
      </w:r>
      <w:r w:rsidR="004A2D4C">
        <w:rPr>
          <w:rFonts w:ascii="Times New Roman" w:hAnsi="Times New Roman" w:cs="Times New Roman"/>
          <w:sz w:val="28"/>
          <w:szCs w:val="28"/>
        </w:rPr>
        <w:t xml:space="preserve"> Общая</w:t>
      </w:r>
      <w:r w:rsidR="002F200E">
        <w:rPr>
          <w:rFonts w:ascii="Times New Roman" w:hAnsi="Times New Roman" w:cs="Times New Roman"/>
          <w:sz w:val="28"/>
          <w:szCs w:val="28"/>
        </w:rPr>
        <w:t xml:space="preserve"> заболеваемость населения в 2022 году по сравнению с 2021</w:t>
      </w:r>
      <w:r w:rsidR="00EC7E40">
        <w:rPr>
          <w:rFonts w:ascii="Times New Roman" w:hAnsi="Times New Roman" w:cs="Times New Roman"/>
          <w:sz w:val="28"/>
          <w:szCs w:val="28"/>
        </w:rPr>
        <w:t xml:space="preserve"> годом </w:t>
      </w:r>
      <w:r w:rsidR="00EC7E40" w:rsidRPr="00EC7E40">
        <w:rPr>
          <w:rFonts w:ascii="Times New Roman" w:hAnsi="Times New Roman" w:cs="Times New Roman"/>
          <w:sz w:val="28"/>
          <w:szCs w:val="28"/>
        </w:rPr>
        <w:t xml:space="preserve">увеличилась на </w:t>
      </w:r>
      <w:r w:rsidR="002F200E" w:rsidRPr="002F200E">
        <w:rPr>
          <w:rFonts w:ascii="Times New Roman" w:hAnsi="Times New Roman" w:cs="Times New Roman"/>
          <w:sz w:val="28"/>
          <w:szCs w:val="28"/>
        </w:rPr>
        <w:t>0</w:t>
      </w:r>
      <w:r w:rsidR="00EC7E40" w:rsidRPr="002F200E">
        <w:rPr>
          <w:rFonts w:ascii="Times New Roman" w:hAnsi="Times New Roman" w:cs="Times New Roman"/>
          <w:sz w:val="28"/>
          <w:szCs w:val="28"/>
        </w:rPr>
        <w:t>,8</w:t>
      </w:r>
      <w:r w:rsidR="004A2D4C" w:rsidRPr="002F200E">
        <w:rPr>
          <w:rFonts w:ascii="Times New Roman" w:hAnsi="Times New Roman" w:cs="Times New Roman"/>
          <w:sz w:val="28"/>
          <w:szCs w:val="28"/>
        </w:rPr>
        <w:t>%</w:t>
      </w:r>
      <w:r w:rsidR="004A2D4C" w:rsidRPr="00055E3A">
        <w:rPr>
          <w:rFonts w:ascii="Times New Roman" w:hAnsi="Times New Roman" w:cs="Times New Roman"/>
          <w:sz w:val="28"/>
          <w:szCs w:val="28"/>
        </w:rPr>
        <w:t xml:space="preserve"> </w:t>
      </w:r>
      <w:r w:rsidR="004A2D4C" w:rsidRPr="00EC7E40">
        <w:rPr>
          <w:rFonts w:ascii="Times New Roman" w:hAnsi="Times New Roman" w:cs="Times New Roman"/>
          <w:sz w:val="28"/>
          <w:szCs w:val="28"/>
        </w:rPr>
        <w:t>(табл. 1).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2E20" w:rsidRDefault="004A2D4C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  <w:r w:rsidR="00072E20">
        <w:rPr>
          <w:rFonts w:ascii="Times New Roman" w:hAnsi="Times New Roman" w:cs="Times New Roman"/>
          <w:sz w:val="28"/>
          <w:szCs w:val="28"/>
        </w:rPr>
        <w:t xml:space="preserve">. Общая заболеваемость населения г.п. Шумилино за период </w:t>
      </w:r>
      <w:r w:rsidR="00072E20" w:rsidRPr="00055E3A">
        <w:rPr>
          <w:rFonts w:ascii="Times New Roman" w:hAnsi="Times New Roman" w:cs="Times New Roman"/>
          <w:sz w:val="28"/>
          <w:szCs w:val="28"/>
        </w:rPr>
        <w:t>201</w:t>
      </w:r>
      <w:r w:rsidR="00BF535B" w:rsidRPr="00055E3A">
        <w:rPr>
          <w:rFonts w:ascii="Times New Roman" w:hAnsi="Times New Roman" w:cs="Times New Roman"/>
          <w:sz w:val="28"/>
          <w:szCs w:val="28"/>
        </w:rPr>
        <w:t>8-2022</w:t>
      </w:r>
      <w:r w:rsidR="00E91809" w:rsidRPr="00055E3A">
        <w:rPr>
          <w:rFonts w:ascii="Times New Roman" w:hAnsi="Times New Roman" w:cs="Times New Roman"/>
          <w:sz w:val="28"/>
          <w:szCs w:val="28"/>
        </w:rPr>
        <w:t xml:space="preserve"> гг.</w:t>
      </w:r>
      <w:r w:rsidR="00E918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2E20" w:rsidRDefault="00072E20" w:rsidP="00072E2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d"/>
        <w:tblW w:w="921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29"/>
        <w:gridCol w:w="819"/>
        <w:gridCol w:w="819"/>
        <w:gridCol w:w="819"/>
        <w:gridCol w:w="819"/>
        <w:gridCol w:w="819"/>
        <w:gridCol w:w="1330"/>
        <w:gridCol w:w="885"/>
        <w:gridCol w:w="1975"/>
      </w:tblGrid>
      <w:tr w:rsidR="00BF535B" w:rsidTr="00BF535B"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535B" w:rsidRDefault="00BF53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Территория</w:t>
            </w:r>
          </w:p>
        </w:tc>
        <w:tc>
          <w:tcPr>
            <w:tcW w:w="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535B" w:rsidRDefault="00BF53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2018</w:t>
            </w:r>
          </w:p>
        </w:tc>
        <w:tc>
          <w:tcPr>
            <w:tcW w:w="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535B" w:rsidRDefault="00BF53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535B" w:rsidRDefault="00BF53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535B" w:rsidRDefault="00BF53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535B" w:rsidRDefault="00BF53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535B" w:rsidRDefault="00BF53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Срг.</w:t>
            </w:r>
            <w:r w:rsidR="00055E3A">
              <w:rPr>
                <w:rFonts w:ascii="Times New Roman" w:hAnsi="Times New Roman" w:cs="Times New Roman"/>
                <w:b/>
              </w:rPr>
              <w:t xml:space="preserve"> показатель за период 2018-2022</w:t>
            </w:r>
            <w:r>
              <w:rPr>
                <w:rFonts w:ascii="Times New Roman" w:hAnsi="Times New Roman" w:cs="Times New Roman"/>
                <w:b/>
              </w:rPr>
              <w:t xml:space="preserve"> годы</w:t>
            </w:r>
          </w:p>
        </w:tc>
        <w:tc>
          <w:tcPr>
            <w:tcW w:w="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535B" w:rsidRDefault="00BF53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Тпр.%</w:t>
            </w:r>
          </w:p>
        </w:tc>
        <w:tc>
          <w:tcPr>
            <w:tcW w:w="1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535B" w:rsidRDefault="00BF53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Тср.пр. </w:t>
            </w:r>
            <w:r w:rsidR="00055E3A">
              <w:rPr>
                <w:rFonts w:ascii="Times New Roman" w:hAnsi="Times New Roman" w:cs="Times New Roman"/>
                <w:b/>
              </w:rPr>
              <w:t>2021/2022</w:t>
            </w:r>
          </w:p>
          <w:p w:rsidR="00BF535B" w:rsidRDefault="00BF53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изм.</w:t>
            </w:r>
          </w:p>
        </w:tc>
      </w:tr>
      <w:tr w:rsidR="00BF535B" w:rsidTr="00BF535B"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535B" w:rsidRDefault="00BF53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г.п. Шумилино</w:t>
            </w:r>
          </w:p>
        </w:tc>
        <w:tc>
          <w:tcPr>
            <w:tcW w:w="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F535B" w:rsidRDefault="00BF5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2364,6</w:t>
            </w:r>
          </w:p>
        </w:tc>
        <w:tc>
          <w:tcPr>
            <w:tcW w:w="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F535B" w:rsidRDefault="00BF5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2270,5</w:t>
            </w:r>
          </w:p>
        </w:tc>
        <w:tc>
          <w:tcPr>
            <w:tcW w:w="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F535B" w:rsidRDefault="00BF5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2585,2</w:t>
            </w:r>
          </w:p>
        </w:tc>
        <w:tc>
          <w:tcPr>
            <w:tcW w:w="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535B" w:rsidRDefault="00BF53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2377,8</w:t>
            </w:r>
          </w:p>
        </w:tc>
        <w:tc>
          <w:tcPr>
            <w:tcW w:w="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535B" w:rsidRDefault="00BF535B" w:rsidP="00E918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2731,5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535B" w:rsidRDefault="00055E3A" w:rsidP="00E918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2465,9</w:t>
            </w:r>
          </w:p>
        </w:tc>
        <w:tc>
          <w:tcPr>
            <w:tcW w:w="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535B" w:rsidRDefault="00055E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535B" w:rsidRDefault="00055E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</w:tr>
    </w:tbl>
    <w:p w:rsidR="00072E20" w:rsidRDefault="00072E20" w:rsidP="004A2D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заболеваемость </w:t>
      </w:r>
      <w:r w:rsidR="00055E3A">
        <w:rPr>
          <w:rFonts w:ascii="Times New Roman" w:hAnsi="Times New Roman" w:cs="Times New Roman"/>
          <w:sz w:val="28"/>
          <w:szCs w:val="28"/>
        </w:rPr>
        <w:t>за период наблюдений с 2018 – 2022</w:t>
      </w:r>
      <w:r w:rsidR="004A2D4C">
        <w:rPr>
          <w:rFonts w:ascii="Times New Roman" w:hAnsi="Times New Roman" w:cs="Times New Roman"/>
          <w:sz w:val="28"/>
          <w:szCs w:val="28"/>
        </w:rPr>
        <w:t xml:space="preserve"> годы имеет выраженную тенденцию к снижению с </w:t>
      </w:r>
      <w:r w:rsidR="004A2D4C" w:rsidRPr="00055E3A">
        <w:rPr>
          <w:rFonts w:ascii="Times New Roman" w:hAnsi="Times New Roman" w:cs="Times New Roman"/>
          <w:sz w:val="28"/>
          <w:szCs w:val="28"/>
        </w:rPr>
        <w:t xml:space="preserve">темпом среднего </w:t>
      </w:r>
      <w:r w:rsidR="00055E3A" w:rsidRPr="00055E3A">
        <w:rPr>
          <w:rFonts w:ascii="Times New Roman" w:hAnsi="Times New Roman" w:cs="Times New Roman"/>
          <w:sz w:val="28"/>
          <w:szCs w:val="28"/>
        </w:rPr>
        <w:t>прироста -3,4</w:t>
      </w:r>
      <w:r w:rsidR="004A2D4C" w:rsidRPr="00055E3A">
        <w:rPr>
          <w:rFonts w:ascii="Times New Roman" w:hAnsi="Times New Roman" w:cs="Times New Roman"/>
          <w:sz w:val="28"/>
          <w:szCs w:val="28"/>
        </w:rPr>
        <w:t>%.</w:t>
      </w:r>
      <w:r w:rsidR="004A2D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2E20" w:rsidRDefault="00072E20" w:rsidP="00D940B4">
      <w:pPr>
        <w:tabs>
          <w:tab w:val="left" w:pos="152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1809">
        <w:rPr>
          <w:rFonts w:ascii="Times New Roman" w:hAnsi="Times New Roman" w:cs="Times New Roman"/>
          <w:b/>
          <w:sz w:val="28"/>
          <w:szCs w:val="28"/>
        </w:rPr>
        <w:t>Первичная заболеваемость</w:t>
      </w:r>
    </w:p>
    <w:p w:rsidR="005530FA" w:rsidRPr="00D940B4" w:rsidRDefault="00D940B4" w:rsidP="00D940B4">
      <w:pPr>
        <w:shd w:val="clear" w:color="auto" w:fill="FFFFFF"/>
        <w:ind w:firstLine="567"/>
        <w:jc w:val="both"/>
        <w:outlineLvl w:val="0"/>
        <w:rPr>
          <w:color w:val="000000"/>
          <w:spacing w:val="1"/>
          <w:szCs w:val="28"/>
        </w:rPr>
      </w:pPr>
      <w:r w:rsidRPr="00D940B4">
        <w:rPr>
          <w:rFonts w:ascii="Times New Roman" w:hAnsi="Times New Roman" w:cs="Times New Roman"/>
          <w:color w:val="000000"/>
          <w:spacing w:val="1"/>
          <w:sz w:val="28"/>
          <w:szCs w:val="28"/>
        </w:rPr>
        <w:t>Показатель первичной заболеваемости населения за 2022 год в целом по району составил 778,5%</w:t>
      </w:r>
      <w:r w:rsidRPr="00D940B4">
        <w:rPr>
          <w:rFonts w:ascii="Times New Roman" w:hAnsi="Times New Roman" w:cs="Times New Roman"/>
          <w:color w:val="000000"/>
          <w:spacing w:val="1"/>
          <w:sz w:val="28"/>
          <w:szCs w:val="28"/>
          <w:vertAlign w:val="subscript"/>
        </w:rPr>
        <w:t>0</w:t>
      </w:r>
      <w:r w:rsidRPr="00D940B4">
        <w:rPr>
          <w:rFonts w:ascii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color w:val="000000"/>
          <w:spacing w:val="1"/>
          <w:szCs w:val="28"/>
        </w:rPr>
        <w:t xml:space="preserve"> </w:t>
      </w:r>
      <w:r w:rsidRPr="00D940B4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Прирост к уровню предыдущего года составил 10,6%, многолетняя динамика характеризуется выраженной тенденцией к росту</w:t>
      </w:r>
      <w:r w:rsidRPr="00D940B4">
        <w:rPr>
          <w:rFonts w:ascii="Times New Roman" w:hAnsi="Times New Roman" w:cs="Times New Roman"/>
          <w:color w:val="000000"/>
          <w:sz w:val="28"/>
          <w:szCs w:val="28"/>
        </w:rPr>
        <w:t xml:space="preserve"> со средним темпом прироста за период 2018-202</w:t>
      </w:r>
      <w:r w:rsidR="00C45B9C">
        <w:rPr>
          <w:rFonts w:ascii="Times New Roman" w:hAnsi="Times New Roman" w:cs="Times New Roman"/>
          <w:color w:val="000000"/>
          <w:sz w:val="28"/>
          <w:szCs w:val="28"/>
        </w:rPr>
        <w:t>2 годы +7</w:t>
      </w:r>
      <w:r w:rsidRPr="00D940B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45B9C">
        <w:rPr>
          <w:rFonts w:ascii="Times New Roman" w:hAnsi="Times New Roman" w:cs="Times New Roman"/>
          <w:color w:val="000000"/>
          <w:sz w:val="28"/>
          <w:szCs w:val="28"/>
        </w:rPr>
        <w:t>68</w:t>
      </w:r>
      <w:r w:rsidRPr="00D940B4">
        <w:rPr>
          <w:rFonts w:ascii="Times New Roman" w:hAnsi="Times New Roman" w:cs="Times New Roman"/>
          <w:color w:val="000000"/>
          <w:sz w:val="28"/>
          <w:szCs w:val="28"/>
        </w:rPr>
        <w:t>%.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(таб. 2</w:t>
      </w:r>
      <w:r w:rsidRPr="00D940B4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5530FA" w:rsidRDefault="005530FA" w:rsidP="005530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Таблица 2. Первичная </w:t>
      </w:r>
      <w:r>
        <w:rPr>
          <w:rFonts w:ascii="Times New Roman" w:hAnsi="Times New Roman" w:cs="Times New Roman"/>
          <w:sz w:val="28"/>
          <w:szCs w:val="28"/>
        </w:rPr>
        <w:t xml:space="preserve">заболеваемость населения г.п. Шумилино за период </w:t>
      </w:r>
      <w:r w:rsidR="002F200E" w:rsidRPr="002F200E">
        <w:rPr>
          <w:rFonts w:ascii="Times New Roman" w:hAnsi="Times New Roman" w:cs="Times New Roman"/>
          <w:sz w:val="28"/>
          <w:szCs w:val="28"/>
        </w:rPr>
        <w:t>2018</w:t>
      </w:r>
      <w:r w:rsidR="00D940B4" w:rsidRPr="002F200E">
        <w:rPr>
          <w:rFonts w:ascii="Times New Roman" w:hAnsi="Times New Roman" w:cs="Times New Roman"/>
          <w:sz w:val="28"/>
          <w:szCs w:val="28"/>
        </w:rPr>
        <w:t>-2022</w:t>
      </w:r>
      <w:r w:rsidRPr="002F200E">
        <w:rPr>
          <w:rFonts w:ascii="Times New Roman" w:hAnsi="Times New Roman" w:cs="Times New Roman"/>
          <w:sz w:val="28"/>
          <w:szCs w:val="28"/>
        </w:rPr>
        <w:t xml:space="preserve"> гг.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0FA" w:rsidRPr="004A2D4C" w:rsidRDefault="005530FA" w:rsidP="004A2D4C">
      <w:pPr>
        <w:tabs>
          <w:tab w:val="left" w:pos="152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</w:p>
    <w:tbl>
      <w:tblPr>
        <w:tblStyle w:val="ad"/>
        <w:tblW w:w="0" w:type="auto"/>
        <w:tblInd w:w="0" w:type="dxa"/>
        <w:tblLook w:val="04A0" w:firstRow="1" w:lastRow="0" w:firstColumn="1" w:lastColumn="0" w:noHBand="0" w:noVBand="1"/>
      </w:tblPr>
      <w:tblGrid>
        <w:gridCol w:w="1443"/>
        <w:gridCol w:w="962"/>
        <w:gridCol w:w="992"/>
        <w:gridCol w:w="2552"/>
        <w:gridCol w:w="1276"/>
        <w:gridCol w:w="1842"/>
      </w:tblGrid>
      <w:tr w:rsidR="005530FA" w:rsidTr="00236297">
        <w:tc>
          <w:tcPr>
            <w:tcW w:w="1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30FA" w:rsidRDefault="005530FA" w:rsidP="007C0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Территория</w:t>
            </w:r>
          </w:p>
        </w:tc>
        <w:tc>
          <w:tcPr>
            <w:tcW w:w="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30FA" w:rsidRDefault="00FE64C4" w:rsidP="007C0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30FA" w:rsidRDefault="00D940B4" w:rsidP="007C0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30FA" w:rsidRDefault="005530FA" w:rsidP="007C0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Срг</w:t>
            </w:r>
            <w:r w:rsidR="002F200E">
              <w:rPr>
                <w:rFonts w:ascii="Times New Roman" w:hAnsi="Times New Roman" w:cs="Times New Roman"/>
                <w:b/>
              </w:rPr>
              <w:t>. показатель за период 2018</w:t>
            </w:r>
            <w:r w:rsidR="00D940B4">
              <w:rPr>
                <w:rFonts w:ascii="Times New Roman" w:hAnsi="Times New Roman" w:cs="Times New Roman"/>
                <w:b/>
              </w:rPr>
              <w:t>-2022</w:t>
            </w:r>
            <w:r>
              <w:rPr>
                <w:rFonts w:ascii="Times New Roman" w:hAnsi="Times New Roman" w:cs="Times New Roman"/>
                <w:b/>
              </w:rPr>
              <w:t xml:space="preserve"> годы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30FA" w:rsidRDefault="005530FA" w:rsidP="007C0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Тпр.%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30FA" w:rsidRPr="00D940B4" w:rsidRDefault="00D940B4" w:rsidP="005530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40B4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D940B4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срг.пр. 2018-2022%</w:t>
            </w:r>
          </w:p>
        </w:tc>
      </w:tr>
      <w:tr w:rsidR="005530FA" w:rsidTr="00236297">
        <w:tc>
          <w:tcPr>
            <w:tcW w:w="1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30FA" w:rsidRDefault="005530FA" w:rsidP="007C0E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г.п. Шумилино</w:t>
            </w:r>
          </w:p>
        </w:tc>
        <w:tc>
          <w:tcPr>
            <w:tcW w:w="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30FA" w:rsidRDefault="00FE64C4" w:rsidP="002409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30FA" w:rsidRPr="00D940B4" w:rsidRDefault="00D940B4" w:rsidP="00213D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0B4">
              <w:rPr>
                <w:rFonts w:ascii="Times New Roman" w:hAnsi="Times New Roman" w:cs="Times New Roman"/>
              </w:rPr>
              <w:t>1123,7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30FA" w:rsidRPr="00D940B4" w:rsidRDefault="00D940B4" w:rsidP="005530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0B4">
              <w:rPr>
                <w:rFonts w:ascii="Times New Roman" w:hAnsi="Times New Roman" w:cs="Times New Roman"/>
              </w:rPr>
              <w:t>987,0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30FA" w:rsidRPr="00D940B4" w:rsidRDefault="00D940B4" w:rsidP="005530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0B4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30FA" w:rsidRPr="00D940B4" w:rsidRDefault="00D940B4" w:rsidP="005530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0B4">
              <w:rPr>
                <w:rFonts w:ascii="Times New Roman" w:hAnsi="Times New Roman" w:cs="Times New Roman"/>
              </w:rPr>
              <w:t>+7,68</w:t>
            </w:r>
          </w:p>
        </w:tc>
      </w:tr>
    </w:tbl>
    <w:p w:rsidR="00072E20" w:rsidRDefault="00072E20" w:rsidP="00072E20">
      <w:pPr>
        <w:tabs>
          <w:tab w:val="left" w:pos="152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2E20" w:rsidRDefault="00072E20" w:rsidP="00072E20">
      <w:pPr>
        <w:tabs>
          <w:tab w:val="left" w:pos="152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2E20" w:rsidRDefault="00E5692F" w:rsidP="00072E20">
      <w:pPr>
        <w:tabs>
          <w:tab w:val="left" w:pos="1522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692F">
        <w:rPr>
          <w:rFonts w:ascii="Times New Roman" w:hAnsi="Times New Roman" w:cs="Times New Roman"/>
          <w:color w:val="000000"/>
          <w:sz w:val="28"/>
          <w:szCs w:val="28"/>
        </w:rPr>
        <w:t>В структуре заболеваемости по-прежнему, лидируют заболевания органов дыхания 56,6% (для сравнения 2018 год – 58,3%), на втором месте инфекционные и паразитарные заболевания 18,1% (2018 год – 1,5%), третье место занимают травмы и отравления 10,3% (2018 год – 11,6%) и далее по нисходящей болезни глаза и его придаточного аппарата, болезни кожи и подкожной клетчатки, болезни системы кровообращения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5692F" w:rsidRDefault="00E5692F" w:rsidP="00072E20">
      <w:pPr>
        <w:tabs>
          <w:tab w:val="left" w:pos="1522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692F">
        <w:rPr>
          <w:rFonts w:ascii="Times New Roman" w:hAnsi="Times New Roman" w:cs="Times New Roman"/>
          <w:color w:val="000000"/>
          <w:sz w:val="28"/>
          <w:szCs w:val="28"/>
        </w:rPr>
        <w:t>Тенденции многолетней динамики по классам заболеваний: выраженная тенденция роста наблюдается по 3 классам заболевания - болезни эндокринной системы, болезни кожи и подкожной клетчатки, врожденные аномалии; тенденция к умеренному росту по 3 классам заболеваний – болезни органов дыхания, симптомы, признаки и неточно обозначенные состояния, травмы и отравления; выраженная тенденция к снижению наблюдается по 6 классам заболеваний - психические расстройства, болезни глаза и его придаточного аппарата, болезни уха, болезни системы кровообращения, болезни органов пищеварения, болезни костно-мышечной системы, по остальным нозологиям отмечается умеренная тенденция к снижению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(рис.1).</w:t>
      </w:r>
    </w:p>
    <w:p w:rsidR="00E5692F" w:rsidRDefault="00E5692F" w:rsidP="00E5692F">
      <w:pPr>
        <w:tabs>
          <w:tab w:val="left" w:pos="152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5692F" w:rsidRDefault="00E5692F" w:rsidP="00072E20">
      <w:pPr>
        <w:tabs>
          <w:tab w:val="left" w:pos="1522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5692F" w:rsidRDefault="00E5692F" w:rsidP="00072E20">
      <w:pPr>
        <w:tabs>
          <w:tab w:val="left" w:pos="1522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5692F" w:rsidRPr="00E5692F" w:rsidRDefault="00E5692F" w:rsidP="00072E20">
      <w:pPr>
        <w:tabs>
          <w:tab w:val="left" w:pos="152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504">
        <w:rPr>
          <w:i/>
          <w:noProof/>
          <w:sz w:val="24"/>
          <w:lang w:eastAsia="ru-RU"/>
        </w:rPr>
        <w:drawing>
          <wp:inline distT="0" distB="0" distL="0" distR="0" wp14:anchorId="25C437DE" wp14:editId="73A01716">
            <wp:extent cx="5940425" cy="2720370"/>
            <wp:effectExtent l="0" t="0" r="3175" b="3810"/>
            <wp:docPr id="2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5692F" w:rsidRPr="00C45B9C" w:rsidRDefault="00E5692F" w:rsidP="00E5692F">
      <w:pPr>
        <w:rPr>
          <w:rFonts w:ascii="Times New Roman" w:hAnsi="Times New Roman" w:cs="Times New Roman"/>
          <w:i/>
          <w:sz w:val="24"/>
        </w:rPr>
      </w:pPr>
      <w:r w:rsidRPr="00C45B9C">
        <w:rPr>
          <w:rFonts w:ascii="Times New Roman" w:hAnsi="Times New Roman" w:cs="Times New Roman"/>
          <w:i/>
          <w:sz w:val="24"/>
        </w:rPr>
        <w:t>Рис. 1 Темпы среднегодового прироста первичной заболеваемости населения Шумилинского района по нозологиям за период 2018-2022 годы (%).</w:t>
      </w:r>
    </w:p>
    <w:p w:rsidR="00072E20" w:rsidRDefault="00072E20" w:rsidP="00072E20">
      <w:pPr>
        <w:tabs>
          <w:tab w:val="left" w:pos="152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2E20" w:rsidRDefault="00072E20" w:rsidP="00072E20">
      <w:pPr>
        <w:tabs>
          <w:tab w:val="left" w:pos="152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0FA">
        <w:rPr>
          <w:rFonts w:ascii="Times New Roman" w:hAnsi="Times New Roman" w:cs="Times New Roman"/>
          <w:b/>
          <w:sz w:val="28"/>
          <w:szCs w:val="28"/>
        </w:rPr>
        <w:t>Состояние здоровья детского населения</w:t>
      </w:r>
    </w:p>
    <w:p w:rsidR="005530FA" w:rsidRDefault="005530FA" w:rsidP="00072E20">
      <w:pPr>
        <w:tabs>
          <w:tab w:val="left" w:pos="152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30FA" w:rsidRDefault="005530FA" w:rsidP="00C45B9C">
      <w:pPr>
        <w:spacing w:after="0" w:line="240" w:lineRule="auto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Показатель первичной заболеваемости населения в возрасте 0-17 лет за </w:t>
      </w:r>
      <w:r w:rsidR="00E5692F" w:rsidRPr="00E5692F">
        <w:rPr>
          <w:rFonts w:ascii="Times New Roman" w:hAnsi="Times New Roman" w:cs="Times New Roman"/>
          <w:sz w:val="28"/>
          <w:szCs w:val="28"/>
        </w:rPr>
        <w:t>2022</w:t>
      </w:r>
      <w:r w:rsidRPr="00E5692F">
        <w:rPr>
          <w:rFonts w:ascii="Times New Roman" w:hAnsi="Times New Roman" w:cs="Times New Roman"/>
          <w:sz w:val="28"/>
          <w:szCs w:val="28"/>
        </w:rPr>
        <w:t xml:space="preserve"> год в г.п. Шумилино составил </w:t>
      </w:r>
      <w:r w:rsidR="00E5692F" w:rsidRPr="00E5692F">
        <w:rPr>
          <w:rFonts w:ascii="Times New Roman" w:hAnsi="Times New Roman" w:cs="Times New Roman"/>
          <w:sz w:val="28"/>
          <w:szCs w:val="28"/>
        </w:rPr>
        <w:t>1307,2</w:t>
      </w:r>
      <w:r w:rsidRPr="00E5692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‰.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Прирост к уровню предыдущего года </w:t>
      </w:r>
      <w:r w:rsidR="00037D36" w:rsidRPr="00037D3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составил +24,4</w:t>
      </w:r>
      <w:r w:rsidRPr="00037D3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‰,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многолетняя динамика характеризуется выраженной тенденцией к снижению со средним темпом прироста за период </w:t>
      </w:r>
      <w:r w:rsidR="006E214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2021- 2022 годы -6,2</w:t>
      </w:r>
      <w:r w:rsidRPr="00037D3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% (табл. 3).</w:t>
      </w:r>
    </w:p>
    <w:p w:rsidR="005530FA" w:rsidRDefault="005530FA" w:rsidP="005530F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5530FA" w:rsidRDefault="00236297" w:rsidP="005530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Таблица 3</w:t>
      </w:r>
      <w:r w:rsidR="005530F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Первичная </w:t>
      </w:r>
      <w:r w:rsidR="005530FA">
        <w:rPr>
          <w:rFonts w:ascii="Times New Roman" w:hAnsi="Times New Roman" w:cs="Times New Roman"/>
          <w:sz w:val="28"/>
          <w:szCs w:val="28"/>
        </w:rPr>
        <w:t>заболеваемость</w:t>
      </w:r>
      <w:r>
        <w:rPr>
          <w:rFonts w:ascii="Times New Roman" w:hAnsi="Times New Roman" w:cs="Times New Roman"/>
          <w:sz w:val="28"/>
          <w:szCs w:val="28"/>
        </w:rPr>
        <w:t xml:space="preserve"> детского</w:t>
      </w:r>
      <w:r w:rsidR="005530FA">
        <w:rPr>
          <w:rFonts w:ascii="Times New Roman" w:hAnsi="Times New Roman" w:cs="Times New Roman"/>
          <w:sz w:val="28"/>
          <w:szCs w:val="28"/>
        </w:rPr>
        <w:t xml:space="preserve"> населения г.п. Шумилино за </w:t>
      </w:r>
      <w:r w:rsidR="005530FA" w:rsidRPr="00037D36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6E2143" w:rsidRPr="006E2143">
        <w:rPr>
          <w:rFonts w:ascii="Times New Roman" w:hAnsi="Times New Roman" w:cs="Times New Roman"/>
          <w:sz w:val="28"/>
          <w:szCs w:val="28"/>
        </w:rPr>
        <w:t>2021</w:t>
      </w:r>
      <w:r w:rsidR="00037D36" w:rsidRPr="006E2143">
        <w:rPr>
          <w:rFonts w:ascii="Times New Roman" w:hAnsi="Times New Roman" w:cs="Times New Roman"/>
          <w:sz w:val="28"/>
          <w:szCs w:val="28"/>
        </w:rPr>
        <w:t>-2022</w:t>
      </w:r>
      <w:r w:rsidR="005530FA" w:rsidRPr="006E2143">
        <w:rPr>
          <w:rFonts w:ascii="Times New Roman" w:hAnsi="Times New Roman" w:cs="Times New Roman"/>
          <w:sz w:val="28"/>
          <w:szCs w:val="28"/>
        </w:rPr>
        <w:t xml:space="preserve"> гг.</w:t>
      </w:r>
      <w:r w:rsidR="005530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2E20" w:rsidRDefault="00072E20" w:rsidP="00236297">
      <w:pPr>
        <w:tabs>
          <w:tab w:val="left" w:pos="152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Ind w:w="0" w:type="dxa"/>
        <w:tblLook w:val="04A0" w:firstRow="1" w:lastRow="0" w:firstColumn="1" w:lastColumn="0" w:noHBand="0" w:noVBand="1"/>
      </w:tblPr>
      <w:tblGrid>
        <w:gridCol w:w="2104"/>
        <w:gridCol w:w="1115"/>
        <w:gridCol w:w="1264"/>
        <w:gridCol w:w="2179"/>
        <w:gridCol w:w="1510"/>
        <w:gridCol w:w="1399"/>
      </w:tblGrid>
      <w:tr w:rsidR="006E2143" w:rsidRPr="00D0716E" w:rsidTr="006E2143">
        <w:trPr>
          <w:trHeight w:val="515"/>
        </w:trPr>
        <w:tc>
          <w:tcPr>
            <w:tcW w:w="2104" w:type="dxa"/>
          </w:tcPr>
          <w:p w:rsidR="006E2143" w:rsidRPr="006E2143" w:rsidRDefault="006E2143" w:rsidP="006E21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</w:t>
            </w:r>
          </w:p>
        </w:tc>
        <w:tc>
          <w:tcPr>
            <w:tcW w:w="1115" w:type="dxa"/>
          </w:tcPr>
          <w:p w:rsidR="006E2143" w:rsidRPr="006E2143" w:rsidRDefault="006E2143" w:rsidP="006E21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143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264" w:type="dxa"/>
          </w:tcPr>
          <w:p w:rsidR="006E2143" w:rsidRPr="006E2143" w:rsidRDefault="006E2143" w:rsidP="006E21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143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2179" w:type="dxa"/>
          </w:tcPr>
          <w:p w:rsidR="006E2143" w:rsidRPr="006E2143" w:rsidRDefault="006E2143" w:rsidP="006E21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143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6E2143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пр2021/2020,%</w:t>
            </w:r>
          </w:p>
        </w:tc>
        <w:tc>
          <w:tcPr>
            <w:tcW w:w="1510" w:type="dxa"/>
          </w:tcPr>
          <w:p w:rsidR="006E2143" w:rsidRPr="006E2143" w:rsidRDefault="006E2143" w:rsidP="006E21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6E2143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6E2143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рг показатель за период 2018-2022 годы</w:t>
            </w:r>
          </w:p>
        </w:tc>
        <w:tc>
          <w:tcPr>
            <w:tcW w:w="1399" w:type="dxa"/>
          </w:tcPr>
          <w:p w:rsidR="006E2143" w:rsidRPr="006E2143" w:rsidRDefault="006E2143" w:rsidP="006E21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6E2143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C45B9C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срг.пр. 2021</w:t>
            </w:r>
            <w:r w:rsidRPr="006E2143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-2022 %</w:t>
            </w:r>
          </w:p>
        </w:tc>
      </w:tr>
      <w:tr w:rsidR="006E2143" w:rsidTr="006E2143">
        <w:tc>
          <w:tcPr>
            <w:tcW w:w="2104" w:type="dxa"/>
          </w:tcPr>
          <w:p w:rsidR="006E2143" w:rsidRPr="006E2143" w:rsidRDefault="006E2143" w:rsidP="006E21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143">
              <w:rPr>
                <w:rFonts w:ascii="Times New Roman" w:hAnsi="Times New Roman" w:cs="Times New Roman"/>
                <w:sz w:val="24"/>
                <w:szCs w:val="24"/>
              </w:rPr>
              <w:t>г.п. Шумилино</w:t>
            </w:r>
          </w:p>
        </w:tc>
        <w:tc>
          <w:tcPr>
            <w:tcW w:w="1115" w:type="dxa"/>
          </w:tcPr>
          <w:p w:rsidR="006E2143" w:rsidRPr="006E2143" w:rsidRDefault="006E2143" w:rsidP="006E21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143">
              <w:rPr>
                <w:rFonts w:ascii="Times New Roman" w:hAnsi="Times New Roman" w:cs="Times New Roman"/>
                <w:sz w:val="24"/>
                <w:szCs w:val="24"/>
              </w:rPr>
              <w:t>1383,5</w:t>
            </w:r>
          </w:p>
        </w:tc>
        <w:tc>
          <w:tcPr>
            <w:tcW w:w="1264" w:type="dxa"/>
          </w:tcPr>
          <w:p w:rsidR="006E2143" w:rsidRPr="006E2143" w:rsidRDefault="006E2143" w:rsidP="006E21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143">
              <w:rPr>
                <w:rFonts w:ascii="Times New Roman" w:hAnsi="Times New Roman" w:cs="Times New Roman"/>
                <w:sz w:val="24"/>
                <w:szCs w:val="24"/>
              </w:rPr>
              <w:t>1229,8</w:t>
            </w:r>
          </w:p>
        </w:tc>
        <w:tc>
          <w:tcPr>
            <w:tcW w:w="2179" w:type="dxa"/>
          </w:tcPr>
          <w:p w:rsidR="006E2143" w:rsidRPr="006E2143" w:rsidRDefault="006E2143" w:rsidP="006E21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143">
              <w:rPr>
                <w:rFonts w:ascii="Times New Roman" w:hAnsi="Times New Roman" w:cs="Times New Roman"/>
                <w:sz w:val="24"/>
                <w:szCs w:val="24"/>
              </w:rPr>
              <w:t>-11,1</w:t>
            </w:r>
          </w:p>
        </w:tc>
        <w:tc>
          <w:tcPr>
            <w:tcW w:w="1510" w:type="dxa"/>
          </w:tcPr>
          <w:p w:rsidR="006E2143" w:rsidRPr="006E2143" w:rsidRDefault="006E2143" w:rsidP="006E21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143">
              <w:rPr>
                <w:rFonts w:ascii="Times New Roman" w:hAnsi="Times New Roman" w:cs="Times New Roman"/>
                <w:sz w:val="24"/>
                <w:szCs w:val="24"/>
              </w:rPr>
              <w:t>1262</w:t>
            </w:r>
          </w:p>
        </w:tc>
        <w:tc>
          <w:tcPr>
            <w:tcW w:w="1399" w:type="dxa"/>
          </w:tcPr>
          <w:p w:rsidR="006E2143" w:rsidRPr="006E2143" w:rsidRDefault="006E2143" w:rsidP="006E21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143">
              <w:rPr>
                <w:rFonts w:ascii="Times New Roman" w:hAnsi="Times New Roman" w:cs="Times New Roman"/>
                <w:sz w:val="24"/>
                <w:szCs w:val="24"/>
              </w:rPr>
              <w:t>-6,2</w:t>
            </w:r>
          </w:p>
        </w:tc>
      </w:tr>
    </w:tbl>
    <w:p w:rsidR="006E2143" w:rsidRDefault="006E2143" w:rsidP="00072E20">
      <w:pPr>
        <w:tabs>
          <w:tab w:val="left" w:pos="152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4A83" w:rsidRPr="00AC4A83" w:rsidRDefault="00AC4A83" w:rsidP="00AC4A83">
      <w:pPr>
        <w:tabs>
          <w:tab w:val="left" w:pos="720"/>
        </w:tabs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4A83">
        <w:rPr>
          <w:rFonts w:ascii="Times New Roman" w:hAnsi="Times New Roman" w:cs="Times New Roman"/>
          <w:b/>
          <w:sz w:val="28"/>
          <w:szCs w:val="28"/>
        </w:rPr>
        <w:t>Профилактические медицинские осмотры детей и подростков Шумилинского района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C4A83" w:rsidRPr="00AC4A83" w:rsidRDefault="00AC4A83" w:rsidP="00AC4A83">
      <w:pPr>
        <w:tabs>
          <w:tab w:val="left" w:pos="72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A83">
        <w:rPr>
          <w:rFonts w:ascii="Times New Roman" w:hAnsi="Times New Roman" w:cs="Times New Roman"/>
          <w:sz w:val="28"/>
          <w:szCs w:val="28"/>
        </w:rPr>
        <w:t>Результаты профосмотров детей дошкольного возраста (3-5 лет) - распределение нарушений здоровья в данной группе по нисходящей: понижение остроты зрения, дефекты речи, нарушение осанки.</w:t>
      </w:r>
    </w:p>
    <w:p w:rsidR="00AC4A83" w:rsidRPr="00AC4A83" w:rsidRDefault="00AC4A83" w:rsidP="00AC4A83">
      <w:pPr>
        <w:tabs>
          <w:tab w:val="left" w:pos="72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AC4A83">
        <w:rPr>
          <w:rFonts w:ascii="Times New Roman" w:hAnsi="Times New Roman" w:cs="Times New Roman"/>
          <w:sz w:val="28"/>
          <w:szCs w:val="28"/>
        </w:rPr>
        <w:t>Результаты профосмотров детей школьного возраста (6 лет) - распределение нарушений здоровья в данной группе по нисходящей: понижение остроты зрения, дефекты речи, нарушение осанки.</w:t>
      </w:r>
    </w:p>
    <w:p w:rsidR="00AC4A83" w:rsidRPr="00AC4A83" w:rsidRDefault="00AC4A83" w:rsidP="00AC4A83">
      <w:pPr>
        <w:tabs>
          <w:tab w:val="left" w:pos="72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A83">
        <w:rPr>
          <w:rFonts w:ascii="Times New Roman" w:hAnsi="Times New Roman" w:cs="Times New Roman"/>
          <w:sz w:val="28"/>
          <w:szCs w:val="28"/>
        </w:rPr>
        <w:t>Результаты профосмотров детей школьного возраста (11 лет) - распределение нарушений здоровья в данной группе по нисходящей: понижение остроты зрения, сколиоз.</w:t>
      </w:r>
    </w:p>
    <w:p w:rsidR="00AC4A83" w:rsidRPr="00AC4A83" w:rsidRDefault="00AC4A83" w:rsidP="00AC4A83">
      <w:pPr>
        <w:tabs>
          <w:tab w:val="left" w:pos="72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A83">
        <w:rPr>
          <w:rFonts w:ascii="Times New Roman" w:hAnsi="Times New Roman" w:cs="Times New Roman"/>
          <w:sz w:val="28"/>
          <w:szCs w:val="28"/>
        </w:rPr>
        <w:t>Результаты профосмотров детей школьного возраста (13 лет) - распределение нарушений здоровья в данной группе по нисходящей: понижение остроты зрения, сколиоз, нарушение осанки.</w:t>
      </w:r>
    </w:p>
    <w:p w:rsidR="00AC4A83" w:rsidRPr="00AC4A83" w:rsidRDefault="00AC4A83" w:rsidP="00AC4A83">
      <w:pPr>
        <w:tabs>
          <w:tab w:val="left" w:pos="72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AC4A83">
        <w:rPr>
          <w:rFonts w:ascii="Times New Roman" w:hAnsi="Times New Roman" w:cs="Times New Roman"/>
          <w:sz w:val="28"/>
          <w:szCs w:val="28"/>
        </w:rPr>
        <w:t>Результаты профосмотров детей школьного возраста (15-17 лет) - распределение нарушений здоровья в данной группе по нисходящей: понижение остроты зрения, сколиоз, нарушение осанки.</w:t>
      </w:r>
    </w:p>
    <w:p w:rsidR="00AC4A83" w:rsidRPr="00AC4A83" w:rsidRDefault="00AC4A83" w:rsidP="00AC4A83">
      <w:pPr>
        <w:tabs>
          <w:tab w:val="left" w:pos="72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A83">
        <w:rPr>
          <w:rFonts w:ascii="Times New Roman" w:hAnsi="Times New Roman" w:cs="Times New Roman"/>
          <w:sz w:val="28"/>
          <w:szCs w:val="28"/>
        </w:rPr>
        <w:t>Распределение детей по группам здоровья по результатам профилактических</w:t>
      </w:r>
      <w:r w:rsidR="00C45B9C">
        <w:rPr>
          <w:rFonts w:ascii="Times New Roman" w:hAnsi="Times New Roman" w:cs="Times New Roman"/>
          <w:sz w:val="28"/>
          <w:szCs w:val="28"/>
        </w:rPr>
        <w:t xml:space="preserve"> медицинских осмотров (рис. 2, рис. 2</w:t>
      </w:r>
      <w:r w:rsidRPr="00AC4A83"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Style w:val="ad"/>
        <w:tblW w:w="14786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6"/>
        <w:gridCol w:w="7590"/>
      </w:tblGrid>
      <w:tr w:rsidR="00AC4A83" w:rsidRPr="00AC4A83" w:rsidTr="00AC4A83">
        <w:tc>
          <w:tcPr>
            <w:tcW w:w="7196" w:type="dxa"/>
          </w:tcPr>
          <w:p w:rsidR="00AC4A83" w:rsidRPr="00AC4A83" w:rsidRDefault="00AC4A83" w:rsidP="00AC4A8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A8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0098AA" wp14:editId="4FED811B">
                  <wp:extent cx="4257675" cy="2114550"/>
                  <wp:effectExtent l="0" t="0" r="0" b="0"/>
                  <wp:docPr id="26" name="Диаграмма 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  <w:tc>
          <w:tcPr>
            <w:tcW w:w="7590" w:type="dxa"/>
          </w:tcPr>
          <w:p w:rsidR="00AC4A83" w:rsidRPr="00AC4A83" w:rsidRDefault="00AC4A83" w:rsidP="00AC4A8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4A83" w:rsidRPr="00AC4A83" w:rsidTr="00AC4A83">
        <w:tc>
          <w:tcPr>
            <w:tcW w:w="7196" w:type="dxa"/>
          </w:tcPr>
          <w:p w:rsidR="00AC4A83" w:rsidRPr="00AC4A83" w:rsidRDefault="00C45B9C" w:rsidP="00AC4A83">
            <w:pPr>
              <w:shd w:val="clear" w:color="auto" w:fill="FFFFFF"/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  <w:spacing w:val="4"/>
                <w:sz w:val="28"/>
                <w:szCs w:val="28"/>
              </w:rPr>
              <w:t>Рис. 2</w:t>
            </w:r>
            <w:r w:rsidR="00AC4A83" w:rsidRPr="00AC4A83">
              <w:rPr>
                <w:rFonts w:ascii="Times New Roman" w:hAnsi="Times New Roman" w:cs="Times New Roman"/>
                <w:bCs/>
                <w:i/>
                <w:color w:val="000000"/>
                <w:spacing w:val="4"/>
                <w:sz w:val="28"/>
                <w:szCs w:val="28"/>
              </w:rPr>
              <w:t xml:space="preserve"> Распределение детей 3-5 лет по группам здоровья в 2022 году, %</w:t>
            </w:r>
          </w:p>
        </w:tc>
        <w:tc>
          <w:tcPr>
            <w:tcW w:w="7590" w:type="dxa"/>
          </w:tcPr>
          <w:p w:rsidR="00AC4A83" w:rsidRPr="00AC4A83" w:rsidRDefault="00AC4A83" w:rsidP="00AC4A8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:rsidR="00AC4A83" w:rsidRDefault="00AC4A83" w:rsidP="00AC4A83">
      <w:pPr>
        <w:shd w:val="clear" w:color="auto" w:fill="FFFFFF"/>
        <w:tabs>
          <w:tab w:val="left" w:pos="993"/>
        </w:tabs>
        <w:spacing w:after="0"/>
        <w:jc w:val="both"/>
        <w:rPr>
          <w:rFonts w:ascii="Times New Roman" w:hAnsi="Times New Roman" w:cs="Times New Roman"/>
          <w:bCs/>
          <w:i/>
          <w:color w:val="000000"/>
          <w:spacing w:val="4"/>
          <w:sz w:val="28"/>
          <w:szCs w:val="28"/>
        </w:rPr>
      </w:pPr>
      <w:r w:rsidRPr="00AC4A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A3DBA8" wp14:editId="422EB9E9">
            <wp:extent cx="4419600" cy="211455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C4A83" w:rsidRDefault="00C45B9C" w:rsidP="00AC4A83">
      <w:pPr>
        <w:shd w:val="clear" w:color="auto" w:fill="FFFFFF"/>
        <w:tabs>
          <w:tab w:val="left" w:pos="993"/>
        </w:tabs>
        <w:spacing w:after="0"/>
        <w:jc w:val="both"/>
        <w:rPr>
          <w:rFonts w:ascii="Times New Roman" w:hAnsi="Times New Roman" w:cs="Times New Roman"/>
          <w:bCs/>
          <w:i/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Рис. 2 </w:t>
      </w:r>
      <w:r w:rsidR="00AC4A8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C4A83" w:rsidRPr="00AC4A83">
        <w:rPr>
          <w:rFonts w:ascii="Times New Roman" w:hAnsi="Times New Roman" w:cs="Times New Roman"/>
          <w:bCs/>
          <w:i/>
          <w:color w:val="000000"/>
          <w:spacing w:val="4"/>
          <w:sz w:val="28"/>
          <w:szCs w:val="28"/>
        </w:rPr>
        <w:t>Распределение детей 6-17 лет по группам</w:t>
      </w:r>
    </w:p>
    <w:p w:rsidR="00AC4A83" w:rsidRPr="00AC4A83" w:rsidRDefault="00AC4A83" w:rsidP="00AC4A83">
      <w:pPr>
        <w:shd w:val="clear" w:color="auto" w:fill="FFFFFF"/>
        <w:tabs>
          <w:tab w:val="left" w:pos="993"/>
        </w:tabs>
        <w:spacing w:after="0"/>
        <w:jc w:val="both"/>
        <w:rPr>
          <w:rFonts w:ascii="Times New Roman" w:hAnsi="Times New Roman" w:cs="Times New Roman"/>
          <w:bCs/>
          <w:i/>
          <w:color w:val="000000"/>
          <w:spacing w:val="4"/>
          <w:sz w:val="28"/>
          <w:szCs w:val="28"/>
        </w:rPr>
      </w:pPr>
      <w:r w:rsidRPr="00AC4A83">
        <w:rPr>
          <w:rFonts w:ascii="Times New Roman" w:hAnsi="Times New Roman" w:cs="Times New Roman"/>
          <w:bCs/>
          <w:i/>
          <w:color w:val="000000"/>
          <w:spacing w:val="4"/>
          <w:sz w:val="28"/>
          <w:szCs w:val="28"/>
        </w:rPr>
        <w:t xml:space="preserve"> здоровья в 2022 году, %</w:t>
      </w:r>
    </w:p>
    <w:p w:rsidR="00092985" w:rsidRPr="00AC4A83" w:rsidRDefault="00AC4A83" w:rsidP="00AC4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4A83">
        <w:rPr>
          <w:rFonts w:ascii="Times New Roman" w:hAnsi="Times New Roman" w:cs="Times New Roman"/>
          <w:sz w:val="28"/>
          <w:szCs w:val="28"/>
        </w:rPr>
        <w:t xml:space="preserve">По результатам профилактических осмотров детей установлено, что удельный вес детей, относящихся к 1 группе здоровья в 2022 году больше по сравнению с 2018 годом: дети 3-5 лет – 2022 (34,2%), 2018 (31,9%); дети 6-17 лет 2022 (40,9%), 2018 год (38,5%). В 2022 удельный вес детей дошкольного возраста (3-5 лет), относящихся к 4 группе здоровья увеличился и составил 1,6% (2018 год – 1,2%), удельный вес детей школьного возраста (6-17 лет), относящиеся к 4 группе здоровья по сравнению с 2018 годом стало больше (2022 год – 2,4%, 2018 год – 1,8%). </w:t>
      </w:r>
      <w:r w:rsidRPr="00AC4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Причинами возникновения такой ситуации служат: социально-экономическая нестабильность, экологическая ситуация, медицинская активность населения, реформирование системы здравоохранения и образования.</w:t>
      </w:r>
    </w:p>
    <w:p w:rsidR="00072E20" w:rsidRDefault="00072E20" w:rsidP="00072E20">
      <w:pPr>
        <w:tabs>
          <w:tab w:val="left" w:pos="604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г.п. Шумилино силами педиатрической службы проводится ежегодно углубленный медицинский осмотр (далее – осмотр) школьников с привлечением врачей-специалистов территориальных учреждений здравоохранения.  Результаты осмотра и врачебные рекомендации представляются в школы для формирования групп по физическому воспитанию, заполнению листков здоровья, проведению рассадки учащихся по учебным партам. По результатам осмотра разрабатываются персонально для каждого ребенка коррекционные оздоровительные мероприятия, используются лечебно</w:t>
      </w:r>
      <w:r w:rsidR="00AC4A8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оздоровительные технологии, воздействие которых обеспечивает восстановление физического здоровья детей, оказывается консультативная помощь администрации учреждений образования, преподавателям физического воспитания, классным руководителям в организации дифференцированного подхода к ученикам с учетом их состояния здоровья и особенностей развития, проводится работа по индивидуальным реабилитационным мероприятиям, направленных на восстановление здоровья, психологического статуса и  работоспособности ребенка.</w:t>
      </w:r>
    </w:p>
    <w:p w:rsidR="003D3FE2" w:rsidRDefault="003D3FE2"/>
    <w:sectPr w:rsidR="003D3FE2" w:rsidSect="007C4A2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1402" w:rsidRDefault="00041402" w:rsidP="0037310B">
      <w:pPr>
        <w:spacing w:after="0" w:line="240" w:lineRule="auto"/>
      </w:pPr>
      <w:r>
        <w:separator/>
      </w:r>
    </w:p>
  </w:endnote>
  <w:endnote w:type="continuationSeparator" w:id="0">
    <w:p w:rsidR="00041402" w:rsidRDefault="00041402" w:rsidP="00373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1402" w:rsidRDefault="00041402" w:rsidP="0037310B">
      <w:pPr>
        <w:spacing w:after="0" w:line="240" w:lineRule="auto"/>
      </w:pPr>
      <w:r>
        <w:separator/>
      </w:r>
    </w:p>
  </w:footnote>
  <w:footnote w:type="continuationSeparator" w:id="0">
    <w:p w:rsidR="00041402" w:rsidRDefault="00041402" w:rsidP="003731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4124BA"/>
    <w:multiLevelType w:val="hybridMultilevel"/>
    <w:tmpl w:val="515474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6EEC3456"/>
    <w:multiLevelType w:val="hybridMultilevel"/>
    <w:tmpl w:val="6538975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9D2"/>
    <w:rsid w:val="000160BB"/>
    <w:rsid w:val="00037D36"/>
    <w:rsid w:val="00041402"/>
    <w:rsid w:val="00055E3A"/>
    <w:rsid w:val="00072E20"/>
    <w:rsid w:val="00092985"/>
    <w:rsid w:val="000A69D2"/>
    <w:rsid w:val="000C7BF7"/>
    <w:rsid w:val="001318B9"/>
    <w:rsid w:val="001E02AE"/>
    <w:rsid w:val="001F502C"/>
    <w:rsid w:val="00213D53"/>
    <w:rsid w:val="00236297"/>
    <w:rsid w:val="002409F6"/>
    <w:rsid w:val="002B7A6C"/>
    <w:rsid w:val="002F200E"/>
    <w:rsid w:val="00301B23"/>
    <w:rsid w:val="0030349F"/>
    <w:rsid w:val="003218E4"/>
    <w:rsid w:val="003220EF"/>
    <w:rsid w:val="0037310B"/>
    <w:rsid w:val="00380F7F"/>
    <w:rsid w:val="003D3FE2"/>
    <w:rsid w:val="003D5D41"/>
    <w:rsid w:val="003F5DFB"/>
    <w:rsid w:val="00425735"/>
    <w:rsid w:val="0043567D"/>
    <w:rsid w:val="0045716F"/>
    <w:rsid w:val="004A2D4C"/>
    <w:rsid w:val="004B5240"/>
    <w:rsid w:val="00516DB4"/>
    <w:rsid w:val="005170EF"/>
    <w:rsid w:val="005530FA"/>
    <w:rsid w:val="00613905"/>
    <w:rsid w:val="006353E6"/>
    <w:rsid w:val="006660C6"/>
    <w:rsid w:val="00675F90"/>
    <w:rsid w:val="006E2143"/>
    <w:rsid w:val="00747532"/>
    <w:rsid w:val="00792DDA"/>
    <w:rsid w:val="007C1FE5"/>
    <w:rsid w:val="007C4A22"/>
    <w:rsid w:val="007D45B0"/>
    <w:rsid w:val="00806F82"/>
    <w:rsid w:val="00815D59"/>
    <w:rsid w:val="00843EAE"/>
    <w:rsid w:val="00876962"/>
    <w:rsid w:val="009274B5"/>
    <w:rsid w:val="00A05EFB"/>
    <w:rsid w:val="00A62CEA"/>
    <w:rsid w:val="00AC4A83"/>
    <w:rsid w:val="00B417F4"/>
    <w:rsid w:val="00B5389E"/>
    <w:rsid w:val="00BF535B"/>
    <w:rsid w:val="00C217BF"/>
    <w:rsid w:val="00C2328B"/>
    <w:rsid w:val="00C45B9C"/>
    <w:rsid w:val="00CA7626"/>
    <w:rsid w:val="00CC4067"/>
    <w:rsid w:val="00D0404B"/>
    <w:rsid w:val="00D81B55"/>
    <w:rsid w:val="00D940B4"/>
    <w:rsid w:val="00D972CA"/>
    <w:rsid w:val="00DA158B"/>
    <w:rsid w:val="00DA365D"/>
    <w:rsid w:val="00DB514E"/>
    <w:rsid w:val="00DC6BF7"/>
    <w:rsid w:val="00E21E1C"/>
    <w:rsid w:val="00E5692F"/>
    <w:rsid w:val="00E64F44"/>
    <w:rsid w:val="00E91809"/>
    <w:rsid w:val="00EA5192"/>
    <w:rsid w:val="00EC7E40"/>
    <w:rsid w:val="00F873BD"/>
    <w:rsid w:val="00FA4756"/>
    <w:rsid w:val="00FB486C"/>
    <w:rsid w:val="00FC19D9"/>
    <w:rsid w:val="00FD50A7"/>
    <w:rsid w:val="00FE64C4"/>
    <w:rsid w:val="00FF3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B3EFBB1"/>
  <w15:docId w15:val="{07D39344-70CF-43E1-A065-DB0B1B88D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2E20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072E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072E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2E2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72E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072E2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72E20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072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072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72E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72E20"/>
  </w:style>
  <w:style w:type="paragraph" w:styleId="a8">
    <w:name w:val="footer"/>
    <w:basedOn w:val="a"/>
    <w:link w:val="a9"/>
    <w:uiPriority w:val="99"/>
    <w:unhideWhenUsed/>
    <w:rsid w:val="00072E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72E20"/>
  </w:style>
  <w:style w:type="paragraph" w:styleId="aa">
    <w:name w:val="Balloon Text"/>
    <w:basedOn w:val="a"/>
    <w:link w:val="ab"/>
    <w:uiPriority w:val="99"/>
    <w:semiHidden/>
    <w:unhideWhenUsed/>
    <w:rsid w:val="00072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72E20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072E20"/>
    <w:pPr>
      <w:ind w:left="720"/>
      <w:contextualSpacing/>
    </w:pPr>
  </w:style>
  <w:style w:type="paragraph" w:customStyle="1" w:styleId="p1">
    <w:name w:val="p1"/>
    <w:basedOn w:val="a"/>
    <w:uiPriority w:val="99"/>
    <w:rsid w:val="00072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wrap">
    <w:name w:val="nowrap"/>
    <w:basedOn w:val="a0"/>
    <w:rsid w:val="00072E20"/>
  </w:style>
  <w:style w:type="character" w:customStyle="1" w:styleId="elementhandle">
    <w:name w:val="element_handle"/>
    <w:basedOn w:val="a0"/>
    <w:rsid w:val="00072E20"/>
  </w:style>
  <w:style w:type="table" w:styleId="ad">
    <w:name w:val="Table Grid"/>
    <w:basedOn w:val="a1"/>
    <w:uiPriority w:val="59"/>
    <w:rsid w:val="00072E20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e">
    <w:name w:val="Strong"/>
    <w:basedOn w:val="a0"/>
    <w:uiPriority w:val="22"/>
    <w:qFormat/>
    <w:rsid w:val="00072E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9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kobrin.edu.by/main.aspx?guid=5261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3%D0%BE%D1%80%D0%BE%D0%B4%D0%BE%D0%BA_(%D0%92%D0%B8%D1%82%D0%B5%D0%B1%D1%81%D0%BA%D0%B0%D1%8F_%D0%BE%D0%B1%D0%BB%D0%B0%D1%81%D1%82%D1%8C)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hyperlink" Target="https://ru.wikipedia.org/wiki/%D0%91%D0%B5%D1%88%D0%B5%D0%BD%D0%BA%D0%BE%D0%B2%D0%B8%D1%87%D0%B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F3394B"/>
            </a:solidFill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1AE-49FD-AB3C-2AA583EBD2FA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AE-49FD-AB3C-2AA583EBD2FA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1AE-49FD-AB3C-2AA583EBD2FA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1AE-49FD-AB3C-2AA583EBD2FA}"/>
                </c:ext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1AE-49FD-AB3C-2AA583EBD2FA}"/>
                </c:ext>
              </c:extLst>
            </c:dLbl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1AE-49FD-AB3C-2AA583EBD2FA}"/>
                </c:ext>
              </c:extLst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1AE-49FD-AB3C-2AA583EBD2FA}"/>
                </c:ext>
              </c:extLst>
            </c:dLbl>
            <c:dLbl>
              <c:idx val="7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1AE-49FD-AB3C-2AA583EBD2FA}"/>
                </c:ext>
              </c:extLst>
            </c:dLbl>
            <c:dLbl>
              <c:idx val="8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1AE-49FD-AB3C-2AA583EBD2FA}"/>
                </c:ext>
              </c:extLst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1AE-49FD-AB3C-2AA583EBD2FA}"/>
                </c:ext>
              </c:extLst>
            </c:dLbl>
            <c:dLbl>
              <c:idx val="1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1AE-49FD-AB3C-2AA583EBD2FA}"/>
                </c:ext>
              </c:extLst>
            </c:dLbl>
            <c:dLbl>
              <c:idx val="1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1AE-49FD-AB3C-2AA583EBD2FA}"/>
                </c:ext>
              </c:extLst>
            </c:dLbl>
            <c:dLbl>
              <c:idx val="1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1AE-49FD-AB3C-2AA583EBD2FA}"/>
                </c:ext>
              </c:extLst>
            </c:dLbl>
            <c:dLbl>
              <c:idx val="1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1AE-49FD-AB3C-2AA583EBD2FA}"/>
                </c:ext>
              </c:extLst>
            </c:dLbl>
            <c:dLbl>
              <c:idx val="1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1AE-49FD-AB3C-2AA583EBD2FA}"/>
                </c:ext>
              </c:extLst>
            </c:dLbl>
            <c:dLbl>
              <c:idx val="15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1AE-49FD-AB3C-2AA583EBD2FA}"/>
                </c:ext>
              </c:extLst>
            </c:dLbl>
            <c:dLbl>
              <c:idx val="16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1AE-49FD-AB3C-2AA583EBD2FA}"/>
                </c:ext>
              </c:extLst>
            </c:dLbl>
            <c:dLbl>
              <c:idx val="17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1AE-49FD-AB3C-2AA583EBD2F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'Тпр первичной заболев'!$A$2:$A$18</c:f>
              <c:strCache>
                <c:ptCount val="17"/>
                <c:pt idx="0">
                  <c:v>Травмы, отравления и др последствия внешних причин</c:v>
                </c:pt>
                <c:pt idx="1">
                  <c:v>Симптомы, признаки и неточно обозначенные состояния</c:v>
                </c:pt>
                <c:pt idx="2">
                  <c:v>Врожденные аномалии, деформации и хромосомные нарушения</c:v>
                </c:pt>
                <c:pt idx="3">
                  <c:v>Осложнения беременности, родов и послеродового периодов</c:v>
                </c:pt>
                <c:pt idx="4">
                  <c:v>Болезни мочеполовой системы</c:v>
                </c:pt>
                <c:pt idx="5">
                  <c:v>Болезни костно-мышечной системы и соединительной ткани</c:v>
                </c:pt>
                <c:pt idx="6">
                  <c:v>Болезни кожи и подкожной клетчатки</c:v>
                </c:pt>
                <c:pt idx="7">
                  <c:v>Болезни органов пищеварения</c:v>
                </c:pt>
                <c:pt idx="8">
                  <c:v>Болезни органов дыхания</c:v>
                </c:pt>
                <c:pt idx="9">
                  <c:v>Болезни системы кровообращения</c:v>
                </c:pt>
                <c:pt idx="10">
                  <c:v>Болезни уха и сосцевидного отростка</c:v>
                </c:pt>
                <c:pt idx="11">
                  <c:v>Болезни глаза и его придаточного аппарата</c:v>
                </c:pt>
                <c:pt idx="12">
                  <c:v>Болезни нервной системы</c:v>
                </c:pt>
                <c:pt idx="13">
                  <c:v>Психические расстройства</c:v>
                </c:pt>
                <c:pt idx="14">
                  <c:v>Болезни эндокринной системы, расстройства питания</c:v>
                </c:pt>
                <c:pt idx="15">
                  <c:v>Болезни крови и кроветворных тканей</c:v>
                </c:pt>
                <c:pt idx="16">
                  <c:v>Новообразования</c:v>
                </c:pt>
              </c:strCache>
            </c:strRef>
          </c:cat>
          <c:val>
            <c:numRef>
              <c:f>'Тпр первичной заболев'!$B$2:$B$18</c:f>
              <c:numCache>
                <c:formatCode>General</c:formatCode>
                <c:ptCount val="17"/>
                <c:pt idx="0">
                  <c:v>3.6</c:v>
                </c:pt>
                <c:pt idx="1">
                  <c:v>0.60000000000000064</c:v>
                </c:pt>
                <c:pt idx="2">
                  <c:v>24.1</c:v>
                </c:pt>
                <c:pt idx="3">
                  <c:v>-5.6</c:v>
                </c:pt>
                <c:pt idx="4">
                  <c:v>-5.7</c:v>
                </c:pt>
                <c:pt idx="5">
                  <c:v>-18</c:v>
                </c:pt>
                <c:pt idx="6">
                  <c:v>8.6</c:v>
                </c:pt>
                <c:pt idx="7">
                  <c:v>-7.8</c:v>
                </c:pt>
                <c:pt idx="8">
                  <c:v>1.1599999999999944</c:v>
                </c:pt>
                <c:pt idx="9">
                  <c:v>-25.1</c:v>
                </c:pt>
                <c:pt idx="10">
                  <c:v>-46.5</c:v>
                </c:pt>
                <c:pt idx="11">
                  <c:v>-22.1</c:v>
                </c:pt>
                <c:pt idx="12">
                  <c:v>-3.9</c:v>
                </c:pt>
                <c:pt idx="13">
                  <c:v>-11.1</c:v>
                </c:pt>
                <c:pt idx="14">
                  <c:v>10.3</c:v>
                </c:pt>
                <c:pt idx="15">
                  <c:v>-5.5</c:v>
                </c:pt>
                <c:pt idx="16">
                  <c:v>-1.9500000000000051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61AE-49FD-AB3C-2AA583EBD2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2351360"/>
        <c:axId val="142403072"/>
      </c:barChart>
      <c:catAx>
        <c:axId val="14235136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2403072"/>
        <c:crosses val="autoZero"/>
        <c:auto val="1"/>
        <c:lblAlgn val="ctr"/>
        <c:lblOffset val="100"/>
        <c:noMultiLvlLbl val="0"/>
      </c:catAx>
      <c:valAx>
        <c:axId val="1424030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4235136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explosion val="11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AE2-429E-9FBF-68ED3228BDF6}"/>
              </c:ext>
            </c:extLst>
          </c:dPt>
          <c:dPt>
            <c:idx val="1"/>
            <c:bubble3D val="0"/>
            <c:explosion val="2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AE2-429E-9FBF-68ED3228BDF6}"/>
              </c:ext>
            </c:extLst>
          </c:dPt>
          <c:dPt>
            <c:idx val="2"/>
            <c:bubble3D val="0"/>
            <c:explosion val="32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AE2-429E-9FBF-68ED3228BDF6}"/>
              </c:ext>
            </c:extLst>
          </c:dPt>
          <c:dPt>
            <c:idx val="3"/>
            <c:bubble3D val="0"/>
            <c:explosion val="28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AE2-429E-9FBF-68ED3228BDF6}"/>
              </c:ext>
            </c:extLst>
          </c:dPt>
          <c:dLbls>
            <c:dLbl>
              <c:idx val="0"/>
              <c:layout>
                <c:manualLayout>
                  <c:x val="-1.2408573928258967E-2"/>
                  <c:y val="-4.57378244386118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AE2-429E-9FBF-68ED3228BDF6}"/>
                </c:ext>
              </c:extLst>
            </c:dLbl>
            <c:dLbl>
              <c:idx val="1"/>
              <c:layout>
                <c:manualLayout>
                  <c:x val="-1.7909011373578303E-3"/>
                  <c:y val="-2.94619422572178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AE2-429E-9FBF-68ED3228BDF6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AE2-429E-9FBF-68ED3228BDF6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AE2-429E-9FBF-68ED3228BD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'диаграмма гр здор'!$E$6:$H$6</c:f>
              <c:strCache>
                <c:ptCount val="4"/>
                <c:pt idx="0">
                  <c:v>I группа здоровья </c:v>
                </c:pt>
                <c:pt idx="1">
                  <c:v>II группа здоровья </c:v>
                </c:pt>
                <c:pt idx="2">
                  <c:v>III группа здоровья </c:v>
                </c:pt>
                <c:pt idx="3">
                  <c:v>IV группа здоровья </c:v>
                </c:pt>
              </c:strCache>
            </c:strRef>
          </c:cat>
          <c:val>
            <c:numRef>
              <c:f>'диаграмма гр здор'!$E$7:$H$7</c:f>
              <c:numCache>
                <c:formatCode>General</c:formatCode>
                <c:ptCount val="4"/>
                <c:pt idx="0">
                  <c:v>34.200000000000003</c:v>
                </c:pt>
                <c:pt idx="1">
                  <c:v>61.3</c:v>
                </c:pt>
                <c:pt idx="2">
                  <c:v>2.9</c:v>
                </c:pt>
                <c:pt idx="3">
                  <c:v>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AE2-429E-9FBF-68ED3228BD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3845201664202459E-2"/>
          <c:y val="0.13615724701079032"/>
          <c:w val="0.90686563742850923"/>
          <c:h val="0.57657299504228643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6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338-48D3-9278-DE85ED6D2894}"/>
              </c:ext>
            </c:extLst>
          </c:dPt>
          <c:dPt>
            <c:idx val="1"/>
            <c:bubble3D val="0"/>
            <c:explosion val="26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338-48D3-9278-DE85ED6D2894}"/>
              </c:ext>
            </c:extLst>
          </c:dPt>
          <c:dPt>
            <c:idx val="2"/>
            <c:bubble3D val="0"/>
            <c:explosion val="19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338-48D3-9278-DE85ED6D2894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338-48D3-9278-DE85ED6D2894}"/>
              </c:ext>
            </c:extLst>
          </c:dPt>
          <c:dLbls>
            <c:dLbl>
              <c:idx val="0"/>
              <c:layout>
                <c:manualLayout>
                  <c:x val="1.4793525809273841E-2"/>
                  <c:y val="-1.4223899095946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338-48D3-9278-DE85ED6D2894}"/>
                </c:ext>
              </c:extLst>
            </c:dLbl>
            <c:dLbl>
              <c:idx val="1"/>
              <c:layout>
                <c:manualLayout>
                  <c:x val="-8.3398950131233598E-4"/>
                  <c:y val="1.17752989209682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338-48D3-9278-DE85ED6D2894}"/>
                </c:ext>
              </c:extLst>
            </c:dLbl>
            <c:dLbl>
              <c:idx val="2"/>
              <c:layout>
                <c:manualLayout>
                  <c:x val="2.0139545056867891E-2"/>
                  <c:y val="-9.1375036453776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338-48D3-9278-DE85ED6D2894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338-48D3-9278-DE85ED6D28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'диаграмма гр здор'!$E$18:$H$18</c:f>
              <c:strCache>
                <c:ptCount val="4"/>
                <c:pt idx="0">
                  <c:v>I группа здоровья </c:v>
                </c:pt>
                <c:pt idx="1">
                  <c:v>II группа здоровья</c:v>
                </c:pt>
                <c:pt idx="2">
                  <c:v>III группа здоровья </c:v>
                </c:pt>
                <c:pt idx="3">
                  <c:v>IV группа здоровья </c:v>
                </c:pt>
              </c:strCache>
            </c:strRef>
          </c:cat>
          <c:val>
            <c:numRef>
              <c:f>'диаграмма гр здор'!$E$19:$H$19</c:f>
              <c:numCache>
                <c:formatCode>General</c:formatCode>
                <c:ptCount val="4"/>
                <c:pt idx="0">
                  <c:v>40.9</c:v>
                </c:pt>
                <c:pt idx="1">
                  <c:v>45.4</c:v>
                </c:pt>
                <c:pt idx="2">
                  <c:v>11.3</c:v>
                </c:pt>
                <c:pt idx="3">
                  <c:v>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338-48D3-9278-DE85ED6D28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67FFD-3C31-4BBA-9BB0-544D17A98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18</Pages>
  <Words>4290</Words>
  <Characters>24454</Characters>
  <Application>Microsoft Office Word</Application>
  <DocSecurity>0</DocSecurity>
  <Lines>203</Lines>
  <Paragraphs>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«Охрана детского здоровья» - ответственными за реализацию являются: отдел по обр</vt:lpstr>
      <vt:lpstr>Показатель первичной заболеваемости населения за 2022 год в целом по району сост</vt:lpstr>
    </vt:vector>
  </TitlesOfParts>
  <Company/>
  <LinksUpToDate>false</LinksUpToDate>
  <CharactersWithSpaces>28687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cp:lastPrinted>2023-01-11T11:51:00Z</cp:lastPrinted>
  <dcterms:created xsi:type="dcterms:W3CDTF">2022-08-03T13:04:00Z</dcterms:created>
  <dcterms:modified xsi:type="dcterms:W3CDTF">2023-11-10T09:36:00Z</dcterms:modified>
</cp:coreProperties>
</file>